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103"/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9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отчету </w:t>
      </w:r>
      <w:r>
        <w:rPr>
          <w:rFonts w:ascii="Times New Roman" w:hAnsi="Times New Roman" w:cs="Times New Roman"/>
          <w:sz w:val="28"/>
          <w:szCs w:val="28"/>
        </w:rPr>
        <w:t xml:space="preserve">о результативности и эффективности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органа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государственного надзора в области защиты 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за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 год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жилищно-коммунального хозяйства и энергетики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ЖКХиЭ НСО) является исполните</w:t>
      </w:r>
      <w:r>
        <w:rPr>
          <w:rFonts w:ascii="Times New Roman" w:hAnsi="Times New Roman" w:cs="Times New Roman"/>
          <w:sz w:val="28"/>
          <w:szCs w:val="28"/>
        </w:rPr>
        <w:t xml:space="preserve">льным орг</w:t>
      </w:r>
      <w:r>
        <w:rPr>
          <w:rFonts w:ascii="Times New Roman" w:hAnsi="Times New Roman" w:cs="Times New Roman"/>
          <w:sz w:val="28"/>
          <w:szCs w:val="28"/>
        </w:rPr>
        <w:t xml:space="preserve">аном Новосибирской области, в полномочия которого входит осуществление регионального государственного надзора в области защиты населения и территорий от чрезвычайных ситуаций природного и техногенного характера на территории Новосибирской области. В штате </w:t>
      </w:r>
      <w:r>
        <w:rPr>
          <w:rFonts w:ascii="Times New Roman" w:hAnsi="Times New Roman" w:cs="Times New Roman"/>
          <w:sz w:val="28"/>
          <w:szCs w:val="28"/>
        </w:rPr>
        <w:t xml:space="preserve">управления по предупреждению чрезвычайных ситуаций М</w:t>
      </w:r>
      <w:r>
        <w:rPr>
          <w:rFonts w:ascii="Times New Roman" w:hAnsi="Times New Roman" w:cs="Times New Roman"/>
          <w:sz w:val="28"/>
          <w:szCs w:val="28"/>
        </w:rPr>
        <w:t xml:space="preserve">ЖКХиЭ НСО создан отдел регионального государственного надзора (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человек) в составе управления по предупреждению чрезвычайных ситуаций.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отдела регионального государственного надзора организована с февраля 2017 года и осуществляется в соответствии со следующими нормативными правовыми актами: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Федеральны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от 21.12.1994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68-ФЗ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Федеральн</w:t>
      </w:r>
      <w:r>
        <w:rPr>
          <w:rFonts w:ascii="Times New Roman" w:hAnsi="Times New Roman" w:cs="Times New Roman"/>
          <w:sz w:val="28"/>
          <w:szCs w:val="28"/>
        </w:rPr>
        <w:t xml:space="preserve">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Федеральны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от 31.07.2020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Законом Новосибирской области от 13.12.2006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63-ОЗ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защите населения и территории Новосибирской области от чрезвычайных ситуаций межмуниципального и регионального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от 28.09.2021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382-п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региональном государственном надзоре в области защиты населения и территорий от чрезвычайных ситуаций в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от 20.10.2014 № 415-п «О министерстве жилищно-коммунального хозяйства и эн</w:t>
      </w:r>
      <w:r>
        <w:rPr>
          <w:rFonts w:ascii="Times New Roman" w:hAnsi="Times New Roman" w:cs="Times New Roman"/>
          <w:sz w:val="28"/>
          <w:szCs w:val="28"/>
        </w:rPr>
        <w:t xml:space="preserve">ергетики Новосибирской области»;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Новосибирской области от 28.09.2021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382-п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региональном государственном надзоре в области защиты населения и территорий от чрезвычайных ситуаций в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региональный государственный надзор </w:t>
      </w:r>
      <w:r>
        <w:rPr>
          <w:rFonts w:ascii="Times New Roman" w:hAnsi="Times New Roman" w:cs="Times New Roman"/>
          <w:sz w:val="28"/>
          <w:szCs w:val="28"/>
        </w:rPr>
        <w:t xml:space="preserve">в области защиты населения и территорий от чрезвычайных ситуаций в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риказ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МЖКХиЭ НСО от 28.06.2019 № 126 «Об утверждении перечней субъектов надзора в области защиты населения и территорий от чрезвычайных ситуаций регионального, межмуниципального и муниципального характера в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утверждены </w:t>
      </w:r>
      <w:r>
        <w:rPr>
          <w:rFonts w:ascii="Times New Roman" w:hAnsi="Times New Roman" w:cs="Times New Roman"/>
          <w:sz w:val="28"/>
          <w:szCs w:val="28"/>
        </w:rPr>
        <w:t xml:space="preserve">перечни субъектов надзора </w:t>
      </w:r>
      <w:r>
        <w:rPr>
          <w:rFonts w:ascii="Times New Roman" w:hAnsi="Times New Roman" w:cs="Times New Roman"/>
          <w:sz w:val="28"/>
          <w:szCs w:val="28"/>
        </w:rPr>
        <w:t xml:space="preserve">с указанием категорий риска. </w:t>
      </w:r>
      <w:r>
        <w:rPr>
          <w:rFonts w:ascii="Times New Roman" w:hAnsi="Times New Roman" w:cs="Times New Roman"/>
          <w:sz w:val="28"/>
          <w:szCs w:val="28"/>
        </w:rPr>
        <w:t xml:space="preserve">В перечни включены </w:t>
      </w:r>
      <w:r>
        <w:rPr>
          <w:rFonts w:ascii="Times New Roman" w:hAnsi="Times New Roman" w:cs="Times New Roman"/>
          <w:sz w:val="28"/>
          <w:szCs w:val="28"/>
        </w:rPr>
        <w:t xml:space="preserve">1061 </w:t>
      </w:r>
      <w:r>
        <w:rPr>
          <w:rFonts w:ascii="Times New Roman" w:hAnsi="Times New Roman" w:cs="Times New Roman"/>
          <w:sz w:val="28"/>
          <w:szCs w:val="28"/>
        </w:rPr>
        <w:t xml:space="preserve">субъектов надзора из них: 572</w:t>
      </w:r>
      <w:r>
        <w:rPr>
          <w:rFonts w:ascii="Times New Roman" w:hAnsi="Times New Roman" w:cs="Times New Roman"/>
          <w:sz w:val="28"/>
          <w:szCs w:val="28"/>
        </w:rPr>
        <w:t xml:space="preserve">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и 489 органов местного самоуправления.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региональном государственном надзоре в области защиты населения и территорий от чрезвычайных ситуаций в Новосибирской области, утвержденным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28.09.2021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382-п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региональном государственном надзоре в области защиты населения и территорий от чрезвычайных ситуаций в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субъекты надзора юридические лица и индивидуальные предприниматели)  отнесены к категориям значительного, среднего, умеренного и низкого риска.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атегори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субъектов надзора </w:t>
      </w:r>
      <w:r>
        <w:rPr>
          <w:rFonts w:ascii="Times New Roman" w:hAnsi="Times New Roman" w:cs="Times New Roman"/>
          <w:sz w:val="28"/>
          <w:szCs w:val="28"/>
        </w:rPr>
        <w:t xml:space="preserve">значительного риска</w:t>
      </w:r>
      <w:r>
        <w:rPr>
          <w:rFonts w:ascii="Times New Roman" w:hAnsi="Times New Roman" w:cs="Times New Roman"/>
          <w:sz w:val="28"/>
          <w:szCs w:val="28"/>
        </w:rPr>
        <w:t xml:space="preserve"> (61):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организаций и граждан, эксплуатирующих опасные производственные объекты III класса опасности, на которых возможно развитие чрезвычайных ситуаций регионального, межмуниципального, муниципального характера;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деятел</w:t>
      </w:r>
      <w:r>
        <w:rPr>
          <w:rFonts w:ascii="Times New Roman" w:hAnsi="Times New Roman" w:cs="Times New Roman"/>
          <w:sz w:val="28"/>
          <w:szCs w:val="28"/>
        </w:rPr>
        <w:t xml:space="preserve">ьность организаций и граждан, эксплуатирующих объекты отдыха и оздоровления детей с круглогодичным пребыванием на объектах, расположенных на территории, подверженной риску возникновения быстроразвивающихся опасных природных явлений и техногенных процессов;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организаций и граждан, эксплуатирую</w:t>
      </w:r>
      <w:r>
        <w:rPr>
          <w:rFonts w:ascii="Times New Roman" w:hAnsi="Times New Roman" w:cs="Times New Roman"/>
          <w:sz w:val="28"/>
          <w:szCs w:val="28"/>
        </w:rPr>
        <w:t xml:space="preserve">щих объекты, предоставляющие социальные услуги с обеспечением проживания, а также оказания стационарной медицинской помощи, расположенные на территории, подверженной риску возникновения быстроразвивающихся опасных природных явлений и техногенных процессов.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субъектов надзора среднего риска (332):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деятельность организаций и граждан, эксплуатирующих опасные производственные объекты IV класса опасности, на которых возможно развитие чрезвычайных ситуаций регионального, межмуниципального, муниципального характера;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деятельност</w:t>
      </w:r>
      <w:r>
        <w:rPr>
          <w:rFonts w:ascii="Times New Roman" w:hAnsi="Times New Roman" w:cs="Times New Roman"/>
          <w:sz w:val="28"/>
          <w:szCs w:val="28"/>
        </w:rPr>
        <w:t xml:space="preserve">ь организаций и граждан, если указанные организации (их структурные подразделения) и граждане или находящиеся в их ведении организации и структурные подразделения этих организаций включены (входят) в установленном порядке в состав сил и органов управления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подсистемы Новосибирской области единой государственной системы предупреждения и ликвидации чрезвычайных ситуаций и создают резервы финансовых и материальных ресурсов, системы связи и оповещения органов управления и сил </w:t>
      </w:r>
      <w:r>
        <w:rPr>
          <w:rFonts w:ascii="Times New Roman" w:hAnsi="Times New Roman" w:cs="Times New Roman"/>
          <w:sz w:val="28"/>
          <w:szCs w:val="28"/>
        </w:rPr>
        <w:t xml:space="preserve">единой системы, системы оповещения населения о чрезвычайных ситуациях и системы информирования населения о чрезвычайных ситуациях, в рамках которой должны соблюдаться обязательные требования в области защиты населения и территорий от чрезвычайных ситуаций.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субъектов надзора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меренного риска (155):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деятельность иных организаций и граждан, если указанные организации (их структурные подразделения) и граждане или находящ</w:t>
      </w:r>
      <w:r>
        <w:rPr>
          <w:rFonts w:ascii="Times New Roman" w:hAnsi="Times New Roman" w:cs="Times New Roman"/>
          <w:sz w:val="28"/>
          <w:szCs w:val="28"/>
        </w:rPr>
        <w:t xml:space="preserve">иеся в их ведении организации и структурные подразделения этих организаций включены (входят) в установленном порядке в состав территориальной подсистемы Новосибирской области единой государственной системы предупреждения и ликвидации чрезвычайных ситуаций.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субъектов надзора низкого риска (24):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деятельность иных организаций и граждан, если указанные организации (их структурные подразделения) и граждане или нахо</w:t>
      </w:r>
      <w:r>
        <w:rPr>
          <w:rFonts w:ascii="Times New Roman" w:hAnsi="Times New Roman" w:cs="Times New Roman"/>
          <w:sz w:val="28"/>
          <w:szCs w:val="28"/>
        </w:rPr>
        <w:t xml:space="preserve">дящиеся в их ведении организации и структурные подразделения этих организаций включены (входят) в установленном порядке в состав территориальной подсистемы Новосибирской области единой государственной системы предупреждения и ликвидации чрезвычайных ситуац</w:t>
      </w:r>
      <w:r>
        <w:rPr>
          <w:rFonts w:ascii="Times New Roman" w:hAnsi="Times New Roman" w:cs="Times New Roman"/>
          <w:sz w:val="28"/>
          <w:szCs w:val="28"/>
        </w:rPr>
        <w:t xml:space="preserve">ий в случае отсутствия составленного по результатам последнего планового надзорного мероприятия акта надзорного мероприятия с зафиксированными выявленными нарушениями обязательных требований в области защиты населения и территорий от чрезвычайных ситуаций.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Органы местного самоуправления к категориям риска не отнесены.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лан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проверок юридических лиц, индивидуальных предпринимателей </w:t>
      </w:r>
      <w:r>
        <w:rPr>
          <w:rFonts w:ascii="Times New Roman" w:hAnsi="Times New Roman" w:cs="Times New Roman"/>
          <w:sz w:val="28"/>
          <w:szCs w:val="28"/>
        </w:rPr>
        <w:t xml:space="preserve">формируются на основе присвоенных категорий риска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</w:t>
      </w:r>
      <w:r>
        <w:rPr>
          <w:rFonts w:ascii="Times New Roman" w:hAnsi="Times New Roman" w:cs="Times New Roman"/>
          <w:sz w:val="28"/>
          <w:szCs w:val="28"/>
        </w:rPr>
        <w:t xml:space="preserve">3 году </w:t>
      </w:r>
      <w:r>
        <w:rPr>
          <w:rFonts w:ascii="Times New Roman" w:hAnsi="Times New Roman" w:cs="Times New Roman"/>
          <w:sz w:val="28"/>
          <w:szCs w:val="28"/>
        </w:rPr>
        <w:t xml:space="preserve">приказ</w:t>
      </w:r>
      <w:r>
        <w:rPr>
          <w:rFonts w:ascii="Times New Roman" w:hAnsi="Times New Roman" w:cs="Times New Roman"/>
          <w:sz w:val="28"/>
          <w:szCs w:val="28"/>
        </w:rPr>
        <w:t xml:space="preserve"> МЖКХиЭ НСО от 28.06.2019 № 126 «Об утверждении перечней субъектов надзора в области защиты населения и территорий от чрезвычайных ситуаций регионального, межмуниципального и муниципального характера в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актуализирован, с учетом сведений, поступивших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Сибирского управления Федеральной службы по экологическому, технологическому и атомному надзору (Ростехнадзор)</w:t>
      </w:r>
      <w:r>
        <w:rPr>
          <w:rFonts w:ascii="Times New Roman" w:hAnsi="Times New Roman" w:cs="Times New Roman"/>
          <w:sz w:val="28"/>
          <w:szCs w:val="28"/>
        </w:rPr>
        <w:t xml:space="preserve">, о вновь зарегистрированных опасных производственных объектах в едином государственном реестре опасных производственных объектов.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2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Приказы </w:t>
      </w:r>
      <w:r>
        <w:rPr>
          <w:color w:val="auto"/>
          <w:sz w:val="28"/>
          <w:szCs w:val="28"/>
        </w:rPr>
        <w:t xml:space="preserve">и тексты соответствующих нормативных правовых актов, размещены на официальном сайте </w:t>
      </w:r>
      <w:r>
        <w:rPr>
          <w:color w:val="auto"/>
          <w:sz w:val="28"/>
          <w:szCs w:val="28"/>
        </w:rPr>
        <w:t xml:space="preserve">М</w:t>
      </w:r>
      <w:r>
        <w:rPr>
          <w:color w:val="auto"/>
          <w:sz w:val="28"/>
          <w:szCs w:val="28"/>
        </w:rPr>
        <w:t xml:space="preserve">ЖКХиЭ НСО </w:t>
      </w:r>
      <w:r>
        <w:rPr>
          <w:color w:val="auto"/>
          <w:sz w:val="28"/>
          <w:szCs w:val="28"/>
        </w:rPr>
        <w:t xml:space="preserve">в сети «Интернет».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</w:t>
      </w:r>
      <w:r>
        <w:rPr>
          <w:rFonts w:ascii="Times New Roman" w:hAnsi="Times New Roman" w:cs="Times New Roman"/>
          <w:sz w:val="28"/>
          <w:szCs w:val="28"/>
        </w:rPr>
        <w:t xml:space="preserve">Источник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данных для определения значени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 xml:space="preserve">ей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Приказ МЧС России от 01.09.2020 N 631 (ред. от 24.07.2022) "Об утверждении Методики оценки ущерба от чрезвычайных ситуаций" (Зарегистрировано в Минюсте России 25.11.2020 N 61087)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осударственный доклад «О состоянии защиты населения и территории Новосибирской области от ЧС природного и техногенного характера в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 году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- в</w:t>
      </w:r>
      <w:r>
        <w:rPr>
          <w:rFonts w:ascii="Times New Roman" w:hAnsi="Times New Roman" w:cs="Times New Roman"/>
          <w:sz w:val="28"/>
          <w:szCs w:val="28"/>
        </w:rPr>
        <w:t xml:space="preserve">едомственная </w:t>
      </w:r>
      <w:r>
        <w:rPr>
          <w:rFonts w:ascii="Times New Roman" w:hAnsi="Times New Roman" w:cs="Times New Roman"/>
          <w:sz w:val="28"/>
          <w:szCs w:val="28"/>
        </w:rPr>
        <w:t xml:space="preserve">автоматизированная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информационная</w:t>
      </w:r>
      <w:r>
        <w:rPr>
          <w:rFonts w:ascii="Times New Roman" w:hAnsi="Times New Roman" w:cs="Times New Roman"/>
          <w:sz w:val="28"/>
          <w:szCs w:val="28"/>
        </w:rPr>
        <w:t xml:space="preserve"> система СПО ИАП;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</w:t>
      </w:r>
      <w:r>
        <w:rPr>
          <w:rFonts w:ascii="Times New Roman" w:hAnsi="Times New Roman" w:cs="Times New Roman"/>
          <w:sz w:val="28"/>
          <w:szCs w:val="28"/>
        </w:rPr>
        <w:t xml:space="preserve">бзор результатов обобщения и анализа правоприменительной практики контрольно-надзорной деятельности в области защиты населения и территории от чрезвычайных ситуаций природного и техногенного характера в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сибирской обл</w:t>
      </w:r>
      <w:r>
        <w:rPr>
          <w:rFonts w:ascii="Times New Roman" w:hAnsi="Times New Roman" w:cs="Times New Roman"/>
          <w:sz w:val="28"/>
          <w:szCs w:val="28"/>
        </w:rPr>
        <w:t xml:space="preserve">асти по итогам 202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</w:t>
      </w:r>
      <w:r>
        <w:rPr>
          <w:rFonts w:ascii="Times New Roman" w:hAnsi="Times New Roman" w:cs="Times New Roman"/>
          <w:sz w:val="28"/>
          <w:szCs w:val="28"/>
        </w:rPr>
        <w:t xml:space="preserve">водный доклад об осуществлении на территории Новосибирской области регионального государственного надзора в области защиты населения и территорий от ЧС природного и техногенного характера в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году;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</w:t>
      </w:r>
      <w:r>
        <w:rPr>
          <w:rFonts w:ascii="Times New Roman" w:hAnsi="Times New Roman" w:cs="Times New Roman"/>
          <w:sz w:val="28"/>
          <w:szCs w:val="28"/>
        </w:rPr>
        <w:t xml:space="preserve">правки, документы финансовой отчетности в контрольно-наблюдательных</w:t>
      </w:r>
      <w:r>
        <w:rPr>
          <w:rFonts w:ascii="Times New Roman" w:hAnsi="Times New Roman" w:cs="Times New Roman"/>
          <w:sz w:val="28"/>
          <w:szCs w:val="28"/>
        </w:rPr>
        <w:t xml:space="preserve"> делах (Номенклатура КНД 21-02);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</w:t>
      </w:r>
      <w:r>
        <w:rPr>
          <w:rFonts w:ascii="Times New Roman" w:hAnsi="Times New Roman" w:cs="Times New Roman"/>
          <w:sz w:val="28"/>
          <w:szCs w:val="28"/>
        </w:rPr>
        <w:t xml:space="preserve">рогноз ежегодной потребности в профессиональной переподготовке и повышении квалификации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гражданских служащих МЖКХиЭ НСО;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Оценка фактических значений ключевых показателей результативности деятельности надзорного органа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30.11.2021 </w:t>
      </w:r>
      <w:r>
        <w:rPr>
          <w:rFonts w:ascii="Times New Roman" w:hAnsi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cs="Times New Roman"/>
          <w:sz w:val="28"/>
          <w:szCs w:val="28"/>
        </w:rPr>
        <w:t xml:space="preserve">484-п </w:t>
      </w:r>
      <w:r>
        <w:rPr>
          <w:rFonts w:ascii="Times New Roman" w:hAnsi="Times New Roman" w:cs="Times New Roman"/>
          <w:sz w:val="28"/>
          <w:szCs w:val="28"/>
        </w:rPr>
        <w:t xml:space="preserve">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ключевых показателей и их целевых значений, индикативных показателей регионального государственного надзора в области защиты населения и территорий от чрезвычайных ситуаций в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утверждены ключевые показатели и их целевые значения, индикативные показатели регионального государственного надзора в области защиты населения и территорий от чрезвычайных ситуаций в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 раздела III Методики оценки результативности и эф</w:t>
      </w:r>
      <w:r>
        <w:rPr>
          <w:rFonts w:ascii="Times New Roman" w:hAnsi="Times New Roman" w:cs="Times New Roman"/>
          <w:sz w:val="28"/>
          <w:szCs w:val="28"/>
        </w:rPr>
        <w:t xml:space="preserve">фективности деятельности областных исполнительных органов государственной власти Новосибирской области по осуществлению регионального государственного контроля (надзора), утвержденной постановлением Правительства Новосибирской области от 28.09.2017 №370-п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ценка фактических значений ключевых показателей результативности контрольно-надзорной деятельности осуществляется путем сравнения с целевыми значениями по трехбалльной шкале. Критер</w:t>
      </w:r>
      <w:r>
        <w:rPr>
          <w:rFonts w:ascii="Times New Roman" w:hAnsi="Times New Roman" w:cs="Times New Roman"/>
          <w:sz w:val="28"/>
          <w:szCs w:val="28"/>
        </w:rPr>
        <w:t xml:space="preserve">ием присвоения балльных оценок показателям является степень отклонения фактического значения показателя от целевого значения. Если фактическое значение показателя выше или равно целевому значению показателя, присваивается три балла. Если степень отклонения</w:t>
      </w:r>
      <w:r>
        <w:rPr>
          <w:rFonts w:ascii="Times New Roman" w:hAnsi="Times New Roman" w:cs="Times New Roman"/>
          <w:sz w:val="28"/>
          <w:szCs w:val="28"/>
        </w:rPr>
        <w:t xml:space="preserve"> фактического значения показателя от целевого значения не более чем 20%, присваивается два балла. Если степень отклонения фактического значения показателя от целевого значения не более чем 50%, присваивается один балл. Если степень отклонения фактического </w:t>
      </w:r>
      <w:r>
        <w:rPr>
          <w:rFonts w:ascii="Times New Roman" w:hAnsi="Times New Roman" w:cs="Times New Roman"/>
          <w:sz w:val="28"/>
          <w:szCs w:val="28"/>
        </w:rPr>
        <w:t xml:space="preserve">значения показателя от целевого значения более чем 50%, присваивается ноль баллов.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бальной оценки ключевых показателей: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ключево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1 «</w:t>
      </w:r>
      <w:r>
        <w:rPr>
          <w:rFonts w:ascii="Times New Roman" w:hAnsi="Times New Roman" w:cs="Times New Roman"/>
          <w:sz w:val="28"/>
          <w:szCs w:val="28"/>
        </w:rPr>
        <w:t xml:space="preserve">Количество погибших человек в результате чрезвычай</w:t>
      </w:r>
      <w:r>
        <w:rPr>
          <w:rFonts w:ascii="Times New Roman" w:hAnsi="Times New Roman" w:cs="Times New Roman"/>
          <w:sz w:val="28"/>
          <w:szCs w:val="28"/>
        </w:rPr>
        <w:t xml:space="preserve">ных ситуаций, на 100000 жителей</w:t>
      </w:r>
      <w:r>
        <w:rPr>
          <w:rFonts w:ascii="Times New Roman" w:hAnsi="Times New Roman" w:cs="Times New Roman"/>
          <w:sz w:val="28"/>
          <w:szCs w:val="28"/>
        </w:rPr>
        <w:t xml:space="preserve">» (</w:t>
      </w:r>
      <w:r>
        <w:rPr>
          <w:rFonts w:ascii="Times New Roman" w:hAnsi="Times New Roman" w:cs="Times New Roman"/>
          <w:sz w:val="28"/>
          <w:szCs w:val="28"/>
        </w:rPr>
        <w:t xml:space="preserve">целевое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значение показателя - </w:t>
      </w:r>
      <w:r>
        <w:rPr>
          <w:rFonts w:ascii="Times New Roman" w:hAnsi="Times New Roman" w:cs="Times New Roman"/>
          <w:sz w:val="24"/>
          <w:szCs w:val="24"/>
        </w:rPr>
        <w:t xml:space="preserve">&lt;= </w:t>
      </w:r>
      <w:r>
        <w:rPr>
          <w:rFonts w:ascii="Times New Roman" w:hAnsi="Times New Roman" w:cs="Times New Roman"/>
          <w:sz w:val="28"/>
          <w:szCs w:val="28"/>
        </w:rPr>
        <w:t xml:space="preserve">0,10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фактическое значение в 2023 году составило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0,537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Фактическое значение показателя превышает целевое значение. Степень отклонения фактического значения показателя от целевого значения составляет более чем 50%. Бальная оценка - 0 баллов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ключево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2 «</w:t>
      </w:r>
      <w:r>
        <w:rPr>
          <w:rFonts w:ascii="Times New Roman" w:hAnsi="Times New Roman" w:cs="Times New Roman"/>
          <w:sz w:val="28"/>
          <w:szCs w:val="28"/>
        </w:rPr>
        <w:t xml:space="preserve">Количество</w:t>
      </w:r>
      <w:r>
        <w:rPr>
          <w:rFonts w:ascii="Times New Roman" w:hAnsi="Times New Roman" w:cs="Times New Roman"/>
          <w:sz w:val="28"/>
          <w:szCs w:val="28"/>
        </w:rPr>
        <w:t xml:space="preserve"> человек,</w:t>
      </w:r>
      <w:r>
        <w:rPr>
          <w:rFonts w:ascii="Times New Roman" w:hAnsi="Times New Roman" w:cs="Times New Roman"/>
          <w:sz w:val="28"/>
          <w:szCs w:val="28"/>
        </w:rPr>
        <w:t xml:space="preserve"> травмированных 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чрезвычайных ситуаций, </w:t>
      </w:r>
      <w:r>
        <w:rPr>
          <w:rFonts w:ascii="Times New Roman" w:hAnsi="Times New Roman" w:cs="Times New Roman"/>
          <w:sz w:val="28"/>
          <w:szCs w:val="28"/>
        </w:rPr>
        <w:t xml:space="preserve">на 100000 жителей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(целево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значение </w:t>
      </w:r>
      <w:r>
        <w:rPr>
          <w:rFonts w:ascii="Times New Roman" w:hAnsi="Times New Roman" w:cs="Times New Roman"/>
          <w:sz w:val="28"/>
          <w:szCs w:val="28"/>
        </w:rPr>
        <w:t xml:space="preserve">показател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&lt;=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0,5</w:t>
      </w:r>
      <w:r>
        <w:rPr>
          <w:rFonts w:ascii="Times New Roman" w:hAnsi="Times New Roman" w:cs="Times New Roman"/>
          <w:sz w:val="28"/>
          <w:szCs w:val="28"/>
        </w:rPr>
        <w:t xml:space="preserve">35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фактическое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значение показателя в 2023 году составило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,358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Фактическое значение показателя ниже целев</w:t>
      </w:r>
      <w:r>
        <w:rPr>
          <w:rFonts w:ascii="Times New Roman" w:hAnsi="Times New Roman" w:cs="Times New Roman"/>
          <w:sz w:val="28"/>
          <w:szCs w:val="28"/>
        </w:rPr>
        <w:t xml:space="preserve">ого показателя, бальная  оценка - 3 балла;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ключево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показатель А.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Ущерб, нанесенный экономик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в результате происшедших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целевое значение показателя - </w:t>
      </w:r>
      <w:r>
        <w:rPr>
          <w:rFonts w:ascii="Times New Roman" w:hAnsi="Times New Roman" w:cs="Times New Roman"/>
          <w:sz w:val="28"/>
          <w:szCs w:val="28"/>
        </w:rPr>
        <w:t xml:space="preserve">&lt;=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0,037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фактическое значение показателя в 2023 году составило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, 0109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Фактическое значение показателя ниже целе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ого показателя, бальная оценка - 3 балла;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 </w:t>
      </w:r>
      <w:r>
        <w:rPr>
          <w:rFonts w:ascii="Times New Roman" w:hAnsi="Times New Roman" w:cs="Times New Roman"/>
          <w:sz w:val="28"/>
          <w:szCs w:val="28"/>
        </w:rPr>
        <w:t xml:space="preserve">ключевой показатель А.4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Количество чрезвычайных ситуаций природного и техногенного характера, происшедших 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целевое значение показателя - </w:t>
      </w:r>
      <w:r>
        <w:rPr>
          <w:rFonts w:ascii="Times New Roman" w:hAnsi="Times New Roman" w:cs="Times New Roman"/>
          <w:sz w:val="28"/>
          <w:szCs w:val="28"/>
        </w:rPr>
        <w:t xml:space="preserve">&lt;=</w:t>
      </w:r>
      <w:r>
        <w:rPr>
          <w:rFonts w:ascii="Times New Roman" w:hAnsi="Times New Roman" w:cs="Times New Roman"/>
          <w:sz w:val="28"/>
          <w:szCs w:val="28"/>
        </w:rPr>
        <w:t xml:space="preserve"> 1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фактическое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значение показателя в 2023 году составило </w:t>
      </w:r>
      <w:r>
        <w:rPr>
          <w:rFonts w:ascii="Times New Roman" w:hAnsi="Times New Roman" w:cs="Times New Roman"/>
          <w:sz w:val="28"/>
          <w:szCs w:val="28"/>
        </w:rPr>
        <w:t xml:space="preserve">0,66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Фактическое значение показателя ниже целе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ого показателя, бальная оценка - 3 балла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итоговой оценки результативности деятельности органа надзора МЖКХ и Э Новосибирской области: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пункт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5, 16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раздела III </w:t>
      </w:r>
      <w:r>
        <w:rPr>
          <w:rFonts w:ascii="Times New Roman" w:hAnsi="Times New Roman" w:cs="Times New Roman"/>
          <w:sz w:val="28"/>
          <w:szCs w:val="28"/>
        </w:rPr>
        <w:t xml:space="preserve">Методики оценки результативности и эффективности деятельности областных исполнительных органов государственной власти Новосибирской области по осуществлению регионального государственного контроля (надзора), утвержденной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Правительства Новосибирской области от 28.09.2017 №370-п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тоговая оценка результативности и эффективности органов, осуществляющих контрольно-надзорную деятельность, характеризует достижение целевых значений ключевых показателей и рассчитывается как </w:t>
      </w:r>
      <w:r>
        <w:rPr>
          <w:rFonts w:ascii="Times New Roman" w:hAnsi="Times New Roman" w:cs="Times New Roman"/>
          <w:sz w:val="28"/>
          <w:szCs w:val="28"/>
        </w:rPr>
        <w:t xml:space="preserve">среднеарифметическое значение балльных оценок таких показателей.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анализа достижения целевых значений ключевых показателей органы, осуществляющие контрольно-надзорную деятельность, ранжируются в зависимости от достигнутых итоговых оценок результативности и эффективности и делятся на три группы: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20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- 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группа с высокой результативностью и эффективностью от 3 до 2 баллов;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pStyle w:val="891"/>
        <w:ind w:firstLine="720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- 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группа со средней результативностью и эффективностью от 2 до 1 балла;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pStyle w:val="891"/>
        <w:ind w:firstLine="720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- 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группа с низкой результативностью и эффективностью от 1 до 0 баллов.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Среднеарифметическое значение балльных оценок ключевых показателей МЖКХиЭ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составляет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2,25 баллов</w:t>
      </w:r>
      <w:r>
        <w:rPr>
          <w:rFonts w:ascii="Times New Roman" w:hAnsi="Times New Roman" w:cs="Times New Roman"/>
          <w:b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</w:t>
      </w:r>
      <w:r>
        <w:rPr>
          <w:rFonts w:ascii="Times New Roman" w:hAnsi="Times New Roman" w:cs="Times New Roman"/>
          <w:sz w:val="28"/>
          <w:szCs w:val="28"/>
        </w:rPr>
        <w:t xml:space="preserve">то соответствует группе - </w:t>
      </w:r>
      <w:r>
        <w:rPr>
          <w:rFonts w:ascii="Times New Roman" w:hAnsi="Times New Roman" w:cs="Times New Roman"/>
          <w:sz w:val="28"/>
          <w:szCs w:val="28"/>
        </w:rPr>
        <w:t xml:space="preserve">с высокой результативностью и эффективностью.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ind w:firstLine="709"/>
        <w:spacing w:after="0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r>
    </w:p>
    <w:p>
      <w:pPr>
        <w:pStyle w:val="901"/>
        <w:ind w:firstLine="709"/>
        <w:jc w:val="both"/>
        <w:spacing w:after="0"/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5. 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Расчет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показателя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Б.1 -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эффективность надзорной деятельности, отражает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ресурсов и административных и финансовых издержек подконтрольных субъектов, при осуществлении в отношении них контрольно-надзорных мероприятий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ru-RU"/>
        </w:rPr>
      </w:r>
    </w:p>
    <w:p>
      <w:pPr>
        <w:pStyle w:val="901"/>
        <w:ind w:firstLine="709"/>
        <w:jc w:val="both"/>
        <w:spacing w:after="0"/>
        <w:rPr>
          <w:rFonts w:ascii="Times New Roman" w:hAnsi="Times New Roman" w:cs="Times New Roman" w:eastAsiaTheme="minorEastAsia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Эффективность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контрольно-надзорной деятельности за 20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2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3 год  рассчитывалась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по формуле: </w:t>
      </w:r>
      <m:oMath>
        <m:r>
          <w:rPr>
            <w:rFonts w:ascii="Cambria Math" w:hAnsi="Cambria Math" w:cs="Times New Roman"/>
            <w:color w:val="auto"/>
            <w:sz w:val="28"/>
            <w:szCs w:val="28"/>
          </w:rPr>
          <m:rPr>
            <m:sty m:val="b"/>
          </m:rPr>
          <m:t>%=</m:t>
        </m:r>
        <m:r>
          <w:rPr>
            <w:rFonts w:ascii="Cambria Math" w:hAnsi="Cambria Math" w:cs="Times New Roman"/>
            <w:color w:val="auto"/>
            <w:sz w:val="28"/>
            <w:szCs w:val="28"/>
          </w:rPr>
          <m:rPr>
            <m:sty m:val="p"/>
          </m:rPr>
          <m:t>100</m:t>
        </m:r>
        <m:r>
          <w:rPr>
            <w:rFonts w:ascii="Cambria Math" w:hAnsi="Cambria Math" w:cs="Times New Roman"/>
            <w:color w:val="auto"/>
            <w:sz w:val="28"/>
            <w:szCs w:val="28"/>
          </w:rPr>
          <m:rPr>
            <m:sty m:val="b"/>
          </m:rPr>
          <m:t>% х </m:t>
        </m:r>
        <m:f>
          <m:fPr>
            <m:ctrlPr>
              <w:rPr>
                <w:rFonts w:ascii="Cambria Math" w:hAnsi="Cambria Math" w:cs="Times New Roman"/>
                <w:b w:val="0"/>
                <w:bCs w:val="0"/>
                <w:color w:val="auto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auto"/>
                <w:sz w:val="28"/>
                <w:szCs w:val="28"/>
              </w:rPr>
              <m:rPr>
                <m:sty m:val="b"/>
              </m:rPr>
              <m:t>∆У + ∆Р + ∆И</m:t>
            </m:r>
          </m:num>
          <m:den>
            <m:r>
              <w:rPr>
                <w:rFonts w:ascii="Cambria Math" w:hAnsi="Cambria Math" w:cs="Times New Roman"/>
                <w:color w:val="auto"/>
                <w:sz w:val="28"/>
                <w:szCs w:val="28"/>
              </w:rPr>
              <m:rPr>
                <m:sty m:val="b"/>
              </m:rPr>
              <m:t>У+ Р+ И</m:t>
            </m:r>
          </m:den>
        </m:f>
      </m:oMath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, где:</w:t>
      </w:r>
      <w:r>
        <w:rPr>
          <w:rFonts w:ascii="Times New Roman" w:hAnsi="Times New Roman" w:cs="Times New Roman" w:eastAsiaTheme="minorEastAsia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 w:eastAsiaTheme="minorEastAsia"/>
          <w:color w:val="auto"/>
          <w:sz w:val="24"/>
          <w:szCs w:val="24"/>
        </w:rPr>
      </w:r>
      <w:r>
        <w:rPr>
          <w:rFonts w:ascii="Times New Roman" w:hAnsi="Times New Roman" w:cs="Times New Roman" w:eastAsiaTheme="minorEastAsia"/>
          <w:color w:val="auto"/>
          <w:sz w:val="24"/>
          <w:szCs w:val="24"/>
        </w:rPr>
      </w:r>
    </w:p>
    <w:p>
      <w:pPr>
        <w:pStyle w:val="901"/>
        <w:ind w:firstLine="709"/>
        <w:jc w:val="both"/>
        <w:spacing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∆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 - разница между причиненным ущербом в предшествующем периоде и причиненным ущербом в текущем периоде (млн. руб.);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∆Р - разница между расходами на исполнение полномочий в предшествующем периоде и расходами на исполнение полномочий в текущем периоде (млн. руб.);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∆И -  разница между издержками хозяйствующих субъектов в предшествующем периоде и издержками хозяйствующих субъектов в текущем периоде (млн. руб.);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– причиненный ущерб в предшествующем периоде (млн. руб.);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- расходы на исполнение полномочий в предшествующем периоде (млн. руб.);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- издержки хозяйствующих субъектов в предшествующем периоде (млн. руб.).</w:t>
      </w:r>
      <w:r>
        <w:rPr>
          <w:rFonts w:ascii="Times New Roman" w:hAnsi="Times New Roman" w:cs="Times New Roman" w:eastAsiaTheme="minorEastAsia"/>
          <w:sz w:val="28"/>
          <w:szCs w:val="28"/>
        </w:rPr>
      </w:r>
      <w:r>
        <w:rPr>
          <w:rFonts w:ascii="Times New Roman" w:hAnsi="Times New Roman" w:cs="Times New Roman" w:eastAsiaTheme="minorEastAsia"/>
          <w:sz w:val="28"/>
          <w:szCs w:val="28"/>
        </w:rPr>
      </w:r>
    </w:p>
    <w:p>
      <w:pPr>
        <w:pStyle w:val="891"/>
        <w:ind w:firstLine="720"/>
        <w:jc w:val="both"/>
        <w:rPr>
          <w:rFonts w:ascii="Times New Roman" w:hAnsi="Times New Roman" w:cs="Times New Roman" w:eastAsiaTheme="minorEastAsia"/>
          <w:color w:val="ff0000"/>
          <w:sz w:val="28"/>
          <w:szCs w:val="28"/>
          <w:highlight w:val="none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Итоговое значение: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51, 84%.</w:t>
      </w:r>
      <w:r>
        <w:rPr>
          <w:rFonts w:ascii="Times New Roman" w:hAnsi="Times New Roman" w:cs="Times New Roman" w:eastAsiaTheme="minorEastAsia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color w:val="ff0000"/>
          <w:sz w:val="28"/>
          <w:szCs w:val="28"/>
          <w:highlight w:val="none"/>
        </w:rPr>
      </w:r>
      <w:r>
        <w:rPr>
          <w:rFonts w:ascii="Times New Roman" w:hAnsi="Times New Roman" w:cs="Times New Roman" w:eastAsiaTheme="minorEastAsia"/>
          <w:color w:val="ff0000"/>
          <w:sz w:val="28"/>
          <w:szCs w:val="28"/>
          <w:highlight w:val="none"/>
        </w:rPr>
      </w:r>
    </w:p>
    <w:p>
      <w:pPr>
        <w:pStyle w:val="901"/>
        <w:ind w:firstLine="720"/>
        <w:jc w:val="both"/>
        <w:spacing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Указанный показатель показывает эффективность деятельности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надзорного органа, деятельность которого должна основываться на стремлении к достижению минимального объема задействованных трудовых, финансовых и материальных ресурсов, а также минимально возможного воздействия на подконтрольную (поднадзорную) сферу.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 расчете указанного показателя учитывается, что стремление к снижению рассчитываемого процентного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значения указанного показателя в сравнении с 100% должно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предполагать повышение эффективности контрольно-надзорной деятельности.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highlight w:val="none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6. Показатели группы В.1 (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деятельность):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highlight w:val="none"/>
          <w:lang w:eastAsia="en-US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6.1. </w:t>
      </w:r>
      <w:r>
        <w:rPr>
          <w:rFonts w:ascii="Times New Roman" w:hAnsi="Times New Roman" w:cs="Times New Roman"/>
          <w:sz w:val="28"/>
          <w:szCs w:val="28"/>
        </w:rPr>
        <w:t xml:space="preserve">Показатель </w:t>
      </w:r>
      <w:r>
        <w:rPr>
          <w:rFonts w:ascii="Times New Roman" w:hAnsi="Times New Roman" w:cs="Times New Roman"/>
          <w:sz w:val="28"/>
          <w:szCs w:val="28"/>
        </w:rPr>
        <w:t xml:space="preserve">В.1.4 </w:t>
      </w:r>
      <w:r>
        <w:rPr>
          <w:rFonts w:ascii="Times New Roman" w:hAnsi="Times New Roman" w:cs="Times New Roman"/>
          <w:sz w:val="28"/>
          <w:szCs w:val="28"/>
        </w:rPr>
        <w:t xml:space="preserve">(Причиненный ущерб, нанесенный экономики и гражданам территориальной административной единицы Новосибирской области в результате происшедших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(млн. руб.))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рассчитывался </w:t>
      </w:r>
      <w:r>
        <w:rPr>
          <w:rFonts w:ascii="Times New Roman" w:hAnsi="Times New Roman" w:cs="Times New Roman"/>
          <w:sz w:val="28"/>
          <w:szCs w:val="28"/>
        </w:rPr>
        <w:t xml:space="preserve">по формуле: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position w:val="-16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22400" cy="325120"/>
                <wp:effectExtent l="0" t="0" r="6350" b="0"/>
                <wp:docPr id="1" name="Рисунок 4" descr="base_1_217420_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base_1_217420_17"/>
                        <pic:cNvPicPr>
                          <a:picLocks noChangeArrowheads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42240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12.00pt;height:25.6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причиненный вред (ущерб) (млн. руб.);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position w:val="-12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5120" cy="264160"/>
                <wp:effectExtent l="0" t="0" r="0" b="2540"/>
                <wp:docPr id="2" name="Рисунок 6" descr="base_1_217420_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base_1_217420_18"/>
                        <pic:cNvPicPr>
                          <a:picLocks noChangeArrowheads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32512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5.60pt;height:20.8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число случаев причинения вреда (ущерба) i (число);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position w:val="-12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5120" cy="264160"/>
                <wp:effectExtent l="0" t="0" r="0" b="2540"/>
                <wp:docPr id="3" name="Рисунок 5" descr="base_1_217420_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base_1_217420_19"/>
                        <pic:cNvPicPr>
                          <a:picLocks noChangeArrowheads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32512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25.60pt;height:20.80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ущерб от утраты охраняемой законом ценности i (млн. руб.),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стоимости человеческой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(погибших и травмированных) </w:t>
      </w:r>
      <w:r>
        <w:rPr>
          <w:rFonts w:ascii="Times New Roman" w:hAnsi="Times New Roman" w:cs="Times New Roman"/>
          <w:sz w:val="28"/>
          <w:szCs w:val="28"/>
        </w:rPr>
        <w:t xml:space="preserve">и сведений о материальном ущербе</w:t>
      </w:r>
      <w:r>
        <w:rPr>
          <w:rFonts w:ascii="Times New Roman" w:hAnsi="Times New Roman" w:cs="Times New Roman"/>
          <w:sz w:val="28"/>
          <w:szCs w:val="28"/>
        </w:rPr>
        <w:t xml:space="preserve">, нанесенным предметам труда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проводился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Методик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оценки ущерба от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</w:t>
      </w:r>
      <w:r>
        <w:rPr>
          <w:rFonts w:ascii="Times New Roman" w:hAnsi="Times New Roman" w:cs="Times New Roman"/>
          <w:sz w:val="28"/>
          <w:szCs w:val="28"/>
        </w:rPr>
        <w:t xml:space="preserve">риказ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МЧС России от 01.09.2020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631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Методики оценки ущерба от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(Зарегистрировано в Минюсте России 25.11.2020 N 61087)</w:t>
      </w:r>
      <w:r>
        <w:rPr>
          <w:rFonts w:ascii="Times New Roman" w:hAnsi="Times New Roman" w:cs="Times New Roman"/>
          <w:sz w:val="28"/>
          <w:szCs w:val="28"/>
        </w:rPr>
        <w:t xml:space="preserve"> и М</w:t>
      </w:r>
      <w:r>
        <w:rPr>
          <w:rFonts w:ascii="Times New Roman" w:hAnsi="Times New Roman" w:cs="Times New Roman"/>
          <w:sz w:val="28"/>
          <w:szCs w:val="28"/>
        </w:rPr>
        <w:t xml:space="preserve">етодике и формулам, указанным в ежемесячн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бюллетене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«Представительная власть – законодательство, комментарии, проблемы» - выпуск №3(69)2006г.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Итоговое значение: 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20,6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6.2. </w:t>
      </w:r>
      <w:r>
        <w:rPr>
          <w:rFonts w:ascii="Times New Roman" w:hAnsi="Times New Roman" w:cs="Times New Roman"/>
          <w:sz w:val="28"/>
          <w:szCs w:val="28"/>
        </w:rPr>
        <w:t xml:space="preserve">Показатель группы В.1.5 </w:t>
      </w:r>
      <w:r>
        <w:rPr>
          <w:rFonts w:ascii="Times New Roman" w:hAnsi="Times New Roman" w:cs="Times New Roman"/>
          <w:sz w:val="28"/>
          <w:szCs w:val="28"/>
        </w:rPr>
        <w:t xml:space="preserve">(Объем издержек хозяйствующих субъектов, возникающих в связи с устранением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(млн. руб.))</w:t>
      </w:r>
      <w:r>
        <w:rPr>
          <w:rFonts w:ascii="Times New Roman" w:hAnsi="Times New Roman" w:cs="Times New Roman"/>
          <w:sz w:val="28"/>
          <w:szCs w:val="28"/>
        </w:rPr>
        <w:t xml:space="preserve"> проводился по формуле: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 = Ум + (</w:t>
      </w:r>
      <w:r>
        <w:rPr>
          <w:rFonts w:ascii="Times New Roman" w:hAnsi="Times New Roman" w:cs="Times New Roman"/>
          <w:sz w:val="28"/>
          <w:szCs w:val="28"/>
        </w:rPr>
        <w:t xml:space="preserve">Кн</w:t>
      </w:r>
      <w:r>
        <w:rPr>
          <w:rFonts w:ascii="Times New Roman" w:hAnsi="Times New Roman" w:cs="Times New Roman"/>
          <w:sz w:val="28"/>
          <w:szCs w:val="28"/>
        </w:rPr>
        <w:t xml:space="preserve"> x </w:t>
      </w:r>
      <w:r>
        <w:rPr>
          <w:rFonts w:ascii="Times New Roman" w:hAnsi="Times New Roman" w:cs="Times New Roman"/>
          <w:sz w:val="28"/>
          <w:szCs w:val="28"/>
        </w:rPr>
        <w:t xml:space="preserve">Ипро</w:t>
      </w:r>
      <w:r>
        <w:rPr>
          <w:rFonts w:ascii="Times New Roman" w:hAnsi="Times New Roman" w:cs="Times New Roman"/>
          <w:sz w:val="28"/>
          <w:szCs w:val="28"/>
        </w:rPr>
        <w:t xml:space="preserve">), где: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 - объем издержек субъектов надзора;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 - материальный ущерб от действий (бездействия) должностных лиц надзорного органа, в том числе с учетом отмененных по решению суда результатов проверок;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Ипро</w:t>
      </w:r>
      <w:r>
        <w:rPr>
          <w:rFonts w:ascii="Times New Roman" w:hAnsi="Times New Roman" w:cs="Times New Roman"/>
          <w:sz w:val="28"/>
          <w:szCs w:val="28"/>
        </w:rPr>
        <w:t xml:space="preserve"> - издержки субъектов надзора на прохождение надзорных мероприятий (рассчитывается как </w:t>
      </w:r>
      <w:r>
        <w:rPr>
          <w:rFonts w:ascii="Times New Roman" w:hAnsi="Times New Roman" w:cs="Times New Roman"/>
          <w:sz w:val="28"/>
          <w:szCs w:val="28"/>
        </w:rPr>
        <w:t xml:space="preserve">произведение средней продолжительности надзорного мероприятия на среднее число часов работников, задействованных в их проведении, и среднюю заработную плату в час, а так же затраты на выполнение мероприятий по устранению нарушений обязательных требований);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проведенных надзорных мероприятий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Итоговое значение: </w:t>
      </w:r>
      <w:r>
        <w:rPr>
          <w:rFonts w:ascii="Times New Roman" w:hAnsi="Times New Roman" w:cs="Times New Roman"/>
          <w:sz w:val="28"/>
          <w:szCs w:val="28"/>
        </w:rPr>
        <w:t xml:space="preserve">10,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Показатели группы В.2 (Индикативные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 году проведено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надзорных </w:t>
      </w:r>
      <w:r>
        <w:rPr>
          <w:rFonts w:ascii="Times New Roman" w:hAnsi="Times New Roman" w:cs="Times New Roman"/>
          <w:sz w:val="28"/>
          <w:szCs w:val="28"/>
        </w:rPr>
        <w:t xml:space="preserve">мероприяти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0 плановых и </w:t>
      </w:r>
      <w:r>
        <w:rPr>
          <w:rFonts w:ascii="Times New Roman" w:hAnsi="Times New Roman" w:cs="Times New Roman"/>
          <w:sz w:val="28"/>
          <w:szCs w:val="28"/>
        </w:rPr>
        <w:t xml:space="preserve">5 внеплановых мероприятия по надзору в отношении органов местного самоуправления. </w:t>
      </w:r>
      <w:r>
        <w:rPr>
          <w:rFonts w:ascii="Times New Roman" w:hAnsi="Times New Roman" w:cs="Times New Roman"/>
          <w:sz w:val="28"/>
          <w:szCs w:val="28"/>
        </w:rPr>
        <w:t xml:space="preserve">При проведении проверок выявлено </w:t>
      </w:r>
      <w:r>
        <w:rPr>
          <w:rFonts w:ascii="Times New Roman" w:hAnsi="Times New Roman" w:cs="Times New Roman"/>
          <w:sz w:val="28"/>
          <w:szCs w:val="28"/>
        </w:rPr>
        <w:t xml:space="preserve">5 нарушений обязательных требований нормативных правовых актов, указанных в ранее выданных предписаниях об устранении нарушений обязательных требований, подлежащих </w:t>
      </w:r>
      <w:r>
        <w:rPr>
          <w:rFonts w:ascii="Times New Roman" w:hAnsi="Times New Roman" w:cs="Times New Roman"/>
          <w:sz w:val="28"/>
          <w:szCs w:val="28"/>
        </w:rPr>
        <w:t xml:space="preserve">проверке.</w:t>
      </w:r>
      <w:r>
        <w:rPr>
          <w:rFonts w:ascii="Times New Roman" w:hAnsi="Times New Roman" w:cs="Times New Roman"/>
          <w:sz w:val="28"/>
          <w:szCs w:val="28"/>
        </w:rPr>
        <w:t xml:space="preserve"> По факту не устранения ранее выданных предписаний надзорный орган подал 5 исковых заявлений в суды общей юрисдикции для понуждения органов местного самоуправления к принудительному выполнению предписаний надзорного органа (в соответствии с</w:t>
      </w:r>
      <w:r>
        <w:rPr>
          <w:rFonts w:ascii="Times New Roman" w:hAnsi="Times New Roman" w:cs="Times New Roman"/>
          <w:sz w:val="28"/>
          <w:szCs w:val="28"/>
        </w:rPr>
        <w:tab/>
        <w:t xml:space="preserve">пунктом 2 части 2 статьи 90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31.07.2020 № 248-ФЗ (ред. от 25.12.2023)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Количество проверок, результаты которых были отменены или признаны недействительными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– 0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Количество штатных единиц, прошедших в течение последних 3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переобучения или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Доля должностных лиц, осуществляющих надзорные функции, прошедших в течение последних 3 лет программы переобучения или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100%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Должностные лица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осуществляющие региональный государственный надзор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прошли аттестацию</w:t>
      </w:r>
      <w:r>
        <w:rPr>
          <w:rFonts w:ascii="Times New Roman" w:hAnsi="Times New Roman" w:cs="Times New Roman"/>
          <w:sz w:val="28"/>
          <w:szCs w:val="28"/>
        </w:rPr>
        <w:t xml:space="preserve"> как государственные гражданские служащие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Показатели группы В.3 (Индикативные показатели, характеризующие параметры проведенных мероприятий).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 году по итогам проведенных </w:t>
      </w:r>
      <w:r>
        <w:rPr>
          <w:rFonts w:ascii="Times New Roman" w:hAnsi="Times New Roman" w:cs="Times New Roman"/>
          <w:sz w:val="28"/>
          <w:szCs w:val="28"/>
        </w:rPr>
        <w:t xml:space="preserve">надзорных мероприятий соста</w:t>
      </w:r>
      <w:r>
        <w:rPr>
          <w:rFonts w:ascii="Times New Roman" w:hAnsi="Times New Roman" w:cs="Times New Roman"/>
          <w:sz w:val="28"/>
          <w:szCs w:val="28"/>
        </w:rPr>
        <w:t xml:space="preserve">влено и направлено в суд для принятия решения </w:t>
      </w:r>
      <w:r>
        <w:rPr>
          <w:rFonts w:ascii="Times New Roman" w:hAnsi="Times New Roman" w:cs="Times New Roman"/>
          <w:sz w:val="28"/>
          <w:szCs w:val="28"/>
        </w:rPr>
        <w:t xml:space="preserve">по части 1 статьи 19,5 КоАП РФ (невыполнение в срок законного предписания) 5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>
        <w:rPr>
          <w:rFonts w:ascii="Times New Roman" w:hAnsi="Times New Roman" w:cs="Times New Roman"/>
          <w:sz w:val="28"/>
          <w:szCs w:val="28"/>
        </w:rPr>
        <w:t xml:space="preserve">протокол</w:t>
      </w:r>
      <w:r>
        <w:rPr>
          <w:rFonts w:ascii="Times New Roman" w:hAnsi="Times New Roman" w:cs="Times New Roman"/>
          <w:sz w:val="28"/>
          <w:szCs w:val="28"/>
        </w:rPr>
        <w:t xml:space="preserve">а. Все протоколы составлены в отношении </w:t>
      </w:r>
      <w:r>
        <w:rPr>
          <w:rFonts w:ascii="Times New Roman" w:hAnsi="Times New Roman" w:cs="Times New Roman"/>
          <w:sz w:val="28"/>
          <w:szCs w:val="28"/>
        </w:rPr>
        <w:t xml:space="preserve">юридических лиц.</w:t>
      </w:r>
      <w:r>
        <w:rPr>
          <w:rFonts w:ascii="Times New Roman" w:hAnsi="Times New Roman" w:cs="Times New Roman"/>
          <w:sz w:val="28"/>
          <w:szCs w:val="28"/>
        </w:rPr>
        <w:t xml:space="preserve"> Материалы возбужденных административных дел переданы на рассмотрение в суды.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удами приняты решения о привлечении к административной ответственности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административным протоколам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размер суммы штрафов, наложенных судами, составил </w:t>
      </w:r>
      <w:r>
        <w:rPr>
          <w:rFonts w:ascii="Times New Roman" w:hAnsi="Times New Roman" w:cs="Times New Roman"/>
          <w:sz w:val="28"/>
          <w:szCs w:val="28"/>
        </w:rPr>
        <w:t xml:space="preserve">50 тысяч рублей. </w:t>
      </w:r>
      <w:r>
        <w:rPr>
          <w:rFonts w:ascii="Times New Roman" w:hAnsi="Times New Roman" w:cs="Times New Roman"/>
          <w:sz w:val="28"/>
          <w:szCs w:val="28"/>
        </w:rPr>
        <w:t xml:space="preserve">Средний размер наложенного административного штрафа составил 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Theme="minorEastAsia"/>
          <w:sz w:val="28"/>
          <w:szCs w:val="28"/>
          <w:highlight w:val="none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2023 году надзорным органом проведено 172 профилактических мероприятий. Из них: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проведенных профилактических визитов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- 90; консультаций - 82.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проведенных обязательных профилактических визитов - 42.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субъектов надзора отказавшиеся от проведения профилактических визитов - 7. </w:t>
      </w:r>
      <w:r>
        <w:rPr>
          <w:rFonts w:ascii="Times New Roman" w:hAnsi="Times New Roman" w:cs="Times New Roman"/>
          <w:sz w:val="28"/>
          <w:szCs w:val="28"/>
        </w:rPr>
        <w:t xml:space="preserve">В период проверок п</w:t>
      </w:r>
      <w:r>
        <w:rPr>
          <w:rFonts w:ascii="Times New Roman" w:hAnsi="Times New Roman" w:cs="Times New Roman"/>
          <w:sz w:val="28"/>
          <w:szCs w:val="28"/>
        </w:rPr>
        <w:t xml:space="preserve">роведено </w:t>
      </w:r>
      <w:r>
        <w:rPr>
          <w:rFonts w:ascii="Times New Roman" w:hAnsi="Times New Roman" w:cs="Times New Roman"/>
          <w:sz w:val="28"/>
          <w:szCs w:val="28"/>
        </w:rPr>
        <w:t xml:space="preserve">5 профилактических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, направленн</w:t>
      </w:r>
      <w:r>
        <w:rPr>
          <w:rFonts w:ascii="Times New Roman" w:hAnsi="Times New Roman" w:cs="Times New Roman"/>
          <w:sz w:val="28"/>
          <w:szCs w:val="28"/>
        </w:rPr>
        <w:t xml:space="preserve">ые</w:t>
      </w:r>
      <w:r>
        <w:rPr>
          <w:rFonts w:ascii="Times New Roman" w:hAnsi="Times New Roman" w:cs="Times New Roman"/>
          <w:sz w:val="28"/>
          <w:szCs w:val="28"/>
        </w:rPr>
        <w:t xml:space="preserve"> на профилактику на</w:t>
      </w:r>
      <w:r>
        <w:rPr>
          <w:rFonts w:ascii="Times New Roman" w:hAnsi="Times New Roman" w:cs="Times New Roman"/>
          <w:sz w:val="28"/>
          <w:szCs w:val="28"/>
        </w:rPr>
        <w:t xml:space="preserve">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(консультаций)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 w:eastAsiaTheme="minorEastAsia"/>
          <w:sz w:val="28"/>
          <w:szCs w:val="28"/>
          <w:highlight w:val="none"/>
          <w:lang w:eastAsia="ru-RU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оля субъектов надзора, в отношении которых проведены профилактические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от общего количества субъектов надзора - 11,97%.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91"/>
        <w:ind w:firstLine="709"/>
        <w:jc w:val="both"/>
        <w:rPr>
          <w:rFonts w:ascii="Times New Roman" w:hAnsi="Times New Roman" w:cs="Times New Roman" w:eastAsiaTheme="minorHAnsi"/>
          <w:color w:val="ff0000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color w:val="ff0000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color w:val="ff0000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color w:val="ff0000"/>
          <w:sz w:val="28"/>
          <w:szCs w:val="28"/>
          <w:lang w:eastAsia="en-US"/>
        </w:rPr>
      </w:r>
    </w:p>
    <w:p>
      <w:pPr>
        <w:pStyle w:val="891"/>
        <w:ind w:firstLine="709"/>
        <w:jc w:val="both"/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9.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 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Показатели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группы В.4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 (Индикативные показатели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,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характеризующие объем задействованных трудовых, материальных и финансовых ресурсов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).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</w:r>
    </w:p>
    <w:p>
      <w:pPr>
        <w:ind w:firstLine="720"/>
        <w:jc w:val="both"/>
        <w:spacing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выделенных финансовых средств на выполнение функции регионального государственного надзора </w:t>
      </w:r>
      <w:r>
        <w:rPr>
          <w:rFonts w:ascii="Times New Roman" w:hAnsi="Times New Roman" w:cs="Times New Roman"/>
          <w:sz w:val="28"/>
          <w:szCs w:val="28"/>
        </w:rPr>
        <w:t xml:space="preserve">в 2023 году</w:t>
      </w:r>
      <w:r>
        <w:rPr>
          <w:rFonts w:ascii="Times New Roman" w:hAnsi="Times New Roman"/>
          <w:sz w:val="28"/>
          <w:szCs w:val="28"/>
        </w:rPr>
        <w:t xml:space="preserve"> на выполнение функции регионального государственного надзора в 2023 году, составил 7 230 628,90 руб.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      заработанная плата – 5 487 810,21 руб.;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      командировочные расходы – 67 200,00 руб.;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      начисления на выплаты по оплате труда –  1 657 318,69 руб.;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709"/>
        <w:jc w:val="both"/>
        <w:spacing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      расходы на обеспечение деятельности – 18 300 руб.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штатных единиц </w:t>
      </w:r>
      <w:r>
        <w:rPr>
          <w:rFonts w:ascii="Times New Roman" w:hAnsi="Times New Roman" w:cs="Times New Roman"/>
          <w:sz w:val="28"/>
          <w:szCs w:val="28"/>
        </w:rPr>
        <w:t xml:space="preserve">отдела регионального государственного надзора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должностные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5 штатных единиц входит </w:t>
      </w:r>
      <w:r>
        <w:rPr>
          <w:rFonts w:ascii="Times New Roman" w:hAnsi="Times New Roman" w:cs="Times New Roman"/>
          <w:sz w:val="28"/>
          <w:szCs w:val="28"/>
        </w:rPr>
        <w:t xml:space="preserve">выполнение надзорных функций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</w:t>
      </w:r>
      <w:r>
        <w:rPr>
          <w:rFonts w:ascii="Times New Roman" w:hAnsi="Times New Roman" w:cs="Times New Roman"/>
          <w:sz w:val="28"/>
          <w:szCs w:val="28"/>
        </w:rPr>
        <w:t xml:space="preserve">По итогам работы регионального государственного надзора в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3 году п</w:t>
      </w:r>
      <w:r>
        <w:rPr>
          <w:rFonts w:ascii="Times New Roman" w:hAnsi="Times New Roman"/>
          <w:sz w:val="28"/>
          <w:szCs w:val="28"/>
        </w:rPr>
        <w:t xml:space="preserve">роблем и предложений не имеем.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_____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4723111"/>
      <w:docPartObj>
        <w:docPartGallery w:val="Page Numbers (Top of Page)"/>
        <w:docPartUnique w:val="true"/>
      </w:docPartObj>
      <w:rPr>
        <w:sz w:val="20"/>
        <w:szCs w:val="20"/>
      </w:rPr>
    </w:sdtPr>
    <w:sdtContent>
      <w:p>
        <w:pPr>
          <w:pStyle w:val="897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6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  <w:p>
    <w:pPr>
      <w:pStyle w:val="89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jc w:val="center"/>
    </w:pPr>
    <w:r/>
    <w:r/>
  </w:p>
  <w:p>
    <w:pPr>
      <w:pStyle w:val="89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5">
    <w:name w:val="Heading 1"/>
    <w:basedOn w:val="887"/>
    <w:next w:val="887"/>
    <w:link w:val="71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6">
    <w:name w:val="Heading 1 Char"/>
    <w:basedOn w:val="888"/>
    <w:link w:val="715"/>
    <w:uiPriority w:val="9"/>
    <w:rPr>
      <w:rFonts w:ascii="Arial" w:hAnsi="Arial" w:eastAsia="Arial" w:cs="Arial"/>
      <w:sz w:val="40"/>
      <w:szCs w:val="40"/>
    </w:rPr>
  </w:style>
  <w:style w:type="paragraph" w:styleId="717">
    <w:name w:val="Heading 2"/>
    <w:basedOn w:val="887"/>
    <w:next w:val="887"/>
    <w:link w:val="71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8">
    <w:name w:val="Heading 2 Char"/>
    <w:basedOn w:val="888"/>
    <w:link w:val="717"/>
    <w:uiPriority w:val="9"/>
    <w:rPr>
      <w:rFonts w:ascii="Arial" w:hAnsi="Arial" w:eastAsia="Arial" w:cs="Arial"/>
      <w:sz w:val="34"/>
    </w:rPr>
  </w:style>
  <w:style w:type="paragraph" w:styleId="719">
    <w:name w:val="Heading 3"/>
    <w:basedOn w:val="887"/>
    <w:next w:val="887"/>
    <w:link w:val="7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0">
    <w:name w:val="Heading 3 Char"/>
    <w:basedOn w:val="888"/>
    <w:link w:val="719"/>
    <w:uiPriority w:val="9"/>
    <w:rPr>
      <w:rFonts w:ascii="Arial" w:hAnsi="Arial" w:eastAsia="Arial" w:cs="Arial"/>
      <w:sz w:val="30"/>
      <w:szCs w:val="30"/>
    </w:rPr>
  </w:style>
  <w:style w:type="paragraph" w:styleId="721">
    <w:name w:val="Heading 4"/>
    <w:basedOn w:val="887"/>
    <w:next w:val="887"/>
    <w:link w:val="7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2">
    <w:name w:val="Heading 4 Char"/>
    <w:basedOn w:val="888"/>
    <w:link w:val="721"/>
    <w:uiPriority w:val="9"/>
    <w:rPr>
      <w:rFonts w:ascii="Arial" w:hAnsi="Arial" w:eastAsia="Arial" w:cs="Arial"/>
      <w:b/>
      <w:bCs/>
      <w:sz w:val="26"/>
      <w:szCs w:val="26"/>
    </w:rPr>
  </w:style>
  <w:style w:type="paragraph" w:styleId="723">
    <w:name w:val="Heading 5"/>
    <w:basedOn w:val="887"/>
    <w:next w:val="887"/>
    <w:link w:val="72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4">
    <w:name w:val="Heading 5 Char"/>
    <w:basedOn w:val="888"/>
    <w:link w:val="723"/>
    <w:uiPriority w:val="9"/>
    <w:rPr>
      <w:rFonts w:ascii="Arial" w:hAnsi="Arial" w:eastAsia="Arial" w:cs="Arial"/>
      <w:b/>
      <w:bCs/>
      <w:sz w:val="24"/>
      <w:szCs w:val="24"/>
    </w:rPr>
  </w:style>
  <w:style w:type="paragraph" w:styleId="725">
    <w:name w:val="Heading 6"/>
    <w:basedOn w:val="887"/>
    <w:next w:val="887"/>
    <w:link w:val="7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6">
    <w:name w:val="Heading 6 Char"/>
    <w:basedOn w:val="888"/>
    <w:link w:val="725"/>
    <w:uiPriority w:val="9"/>
    <w:rPr>
      <w:rFonts w:ascii="Arial" w:hAnsi="Arial" w:eastAsia="Arial" w:cs="Arial"/>
      <w:b/>
      <w:bCs/>
      <w:sz w:val="22"/>
      <w:szCs w:val="22"/>
    </w:rPr>
  </w:style>
  <w:style w:type="paragraph" w:styleId="727">
    <w:name w:val="Heading 7"/>
    <w:basedOn w:val="887"/>
    <w:next w:val="887"/>
    <w:link w:val="72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8">
    <w:name w:val="Heading 7 Char"/>
    <w:basedOn w:val="888"/>
    <w:link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9">
    <w:name w:val="Heading 8"/>
    <w:basedOn w:val="887"/>
    <w:next w:val="887"/>
    <w:link w:val="73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0">
    <w:name w:val="Heading 8 Char"/>
    <w:basedOn w:val="888"/>
    <w:link w:val="729"/>
    <w:uiPriority w:val="9"/>
    <w:rPr>
      <w:rFonts w:ascii="Arial" w:hAnsi="Arial" w:eastAsia="Arial" w:cs="Arial"/>
      <w:i/>
      <w:iCs/>
      <w:sz w:val="22"/>
      <w:szCs w:val="22"/>
    </w:rPr>
  </w:style>
  <w:style w:type="paragraph" w:styleId="731">
    <w:name w:val="Heading 9"/>
    <w:basedOn w:val="887"/>
    <w:next w:val="887"/>
    <w:link w:val="7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2">
    <w:name w:val="Heading 9 Char"/>
    <w:basedOn w:val="888"/>
    <w:link w:val="731"/>
    <w:uiPriority w:val="9"/>
    <w:rPr>
      <w:rFonts w:ascii="Arial" w:hAnsi="Arial" w:eastAsia="Arial" w:cs="Arial"/>
      <w:i/>
      <w:iCs/>
      <w:sz w:val="21"/>
      <w:szCs w:val="21"/>
    </w:rPr>
  </w:style>
  <w:style w:type="paragraph" w:styleId="733">
    <w:name w:val="No Spacing"/>
    <w:uiPriority w:val="1"/>
    <w:qFormat/>
    <w:pPr>
      <w:spacing w:before="0" w:after="0" w:line="240" w:lineRule="auto"/>
    </w:pPr>
  </w:style>
  <w:style w:type="paragraph" w:styleId="734">
    <w:name w:val="Title"/>
    <w:basedOn w:val="887"/>
    <w:next w:val="887"/>
    <w:link w:val="7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5">
    <w:name w:val="Title Char"/>
    <w:basedOn w:val="888"/>
    <w:link w:val="734"/>
    <w:uiPriority w:val="10"/>
    <w:rPr>
      <w:sz w:val="48"/>
      <w:szCs w:val="48"/>
    </w:rPr>
  </w:style>
  <w:style w:type="paragraph" w:styleId="736">
    <w:name w:val="Subtitle"/>
    <w:basedOn w:val="887"/>
    <w:next w:val="887"/>
    <w:link w:val="737"/>
    <w:uiPriority w:val="11"/>
    <w:qFormat/>
    <w:pPr>
      <w:spacing w:before="200" w:after="200"/>
    </w:pPr>
    <w:rPr>
      <w:sz w:val="24"/>
      <w:szCs w:val="24"/>
    </w:rPr>
  </w:style>
  <w:style w:type="character" w:styleId="737">
    <w:name w:val="Subtitle Char"/>
    <w:basedOn w:val="888"/>
    <w:link w:val="736"/>
    <w:uiPriority w:val="11"/>
    <w:rPr>
      <w:sz w:val="24"/>
      <w:szCs w:val="24"/>
    </w:rPr>
  </w:style>
  <w:style w:type="paragraph" w:styleId="738">
    <w:name w:val="Quote"/>
    <w:basedOn w:val="887"/>
    <w:next w:val="887"/>
    <w:link w:val="739"/>
    <w:uiPriority w:val="29"/>
    <w:qFormat/>
    <w:pPr>
      <w:ind w:left="720" w:right="720"/>
    </w:pPr>
    <w:rPr>
      <w:i/>
    </w:rPr>
  </w:style>
  <w:style w:type="character" w:styleId="739">
    <w:name w:val="Quote Char"/>
    <w:link w:val="738"/>
    <w:uiPriority w:val="29"/>
    <w:rPr>
      <w:i/>
    </w:rPr>
  </w:style>
  <w:style w:type="paragraph" w:styleId="740">
    <w:name w:val="Intense Quote"/>
    <w:basedOn w:val="887"/>
    <w:next w:val="887"/>
    <w:link w:val="7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1">
    <w:name w:val="Intense Quote Char"/>
    <w:link w:val="740"/>
    <w:uiPriority w:val="30"/>
    <w:rPr>
      <w:i/>
    </w:rPr>
  </w:style>
  <w:style w:type="character" w:styleId="742">
    <w:name w:val="Header Char"/>
    <w:basedOn w:val="888"/>
    <w:link w:val="897"/>
    <w:uiPriority w:val="99"/>
  </w:style>
  <w:style w:type="character" w:styleId="743">
    <w:name w:val="Footer Char"/>
    <w:basedOn w:val="888"/>
    <w:link w:val="899"/>
    <w:uiPriority w:val="99"/>
  </w:style>
  <w:style w:type="character" w:styleId="744">
    <w:name w:val="Caption Char"/>
    <w:basedOn w:val="901"/>
    <w:link w:val="899"/>
    <w:uiPriority w:val="99"/>
  </w:style>
  <w:style w:type="table" w:styleId="745">
    <w:name w:val="Table Grid Light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basedOn w:val="8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4">
    <w:name w:val="Grid Table 4 - Accent 2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Grid Table 4 - Accent 3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6">
    <w:name w:val="Grid Table 4 - Accent 4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Grid Table 4 - Accent 5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basedOn w:val="8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6">
    <w:name w:val="Grid Table 6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7">
    <w:name w:val="Grid Table 6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8">
    <w:name w:val="Grid Table 6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9">
    <w:name w:val="Grid Table 6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0">
    <w:name w:val="Grid Table 6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1">
    <w:name w:val="Grid Table 6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6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7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8">
    <w:name w:val="List Table 2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9">
    <w:name w:val="List Table 2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0">
    <w:name w:val="List Table 2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1">
    <w:name w:val="List Table 2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2">
    <w:name w:val="List Table 2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3">
    <w:name w:val="List Table 2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6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6">
    <w:name w:val="List Table 6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8">
    <w:name w:val="List Table 6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9">
    <w:name w:val="List Table 6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0">
    <w:name w:val="List Table 6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1">
    <w:name w:val="List Table 6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2">
    <w:name w:val="List Table 7 Colorful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3">
    <w:name w:val="List Table 7 Colorful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4">
    <w:name w:val="List Table 7 Colorful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5">
    <w:name w:val="List Table 7 Colorful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6">
    <w:name w:val="List Table 7 Colorful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7">
    <w:name w:val="List Table 7 Colorful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8">
    <w:name w:val="List Table 7 Colorful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9">
    <w:name w:val="Lined - Accent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Lined - Accent 1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1">
    <w:name w:val="Lined - Accent 2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2">
    <w:name w:val="Lined - Accent 3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3">
    <w:name w:val="Lined - Accent 4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4">
    <w:name w:val="Lined - Accent 5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5">
    <w:name w:val="Lined - Accent 6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6">
    <w:name w:val="Bordered &amp; Lined - Accent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Bordered &amp; Lined - Accent 1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Bordered &amp; Lined - Accent 2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Bordered &amp; Lined - Accent 3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Bordered &amp; Lined - Accent 4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Bordered &amp; Lined - Accent 5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Bordered &amp; Lined - Accent 6"/>
    <w:basedOn w:val="8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4">
    <w:name w:val="Bordered - Accent 1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6">
    <w:name w:val="Bordered - Accent 3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7">
    <w:name w:val="Bordered - Accent 4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8">
    <w:name w:val="Bordered - Accent 5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9">
    <w:name w:val="Bordered - Accent 6"/>
    <w:basedOn w:val="8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0">
    <w:name w:val="footnote text"/>
    <w:basedOn w:val="887"/>
    <w:link w:val="871"/>
    <w:uiPriority w:val="99"/>
    <w:semiHidden/>
    <w:unhideWhenUsed/>
    <w:pPr>
      <w:spacing w:after="40" w:line="240" w:lineRule="auto"/>
    </w:pPr>
    <w:rPr>
      <w:sz w:val="18"/>
    </w:rPr>
  </w:style>
  <w:style w:type="character" w:styleId="871">
    <w:name w:val="Footnote Text Char"/>
    <w:link w:val="870"/>
    <w:uiPriority w:val="99"/>
    <w:rPr>
      <w:sz w:val="18"/>
    </w:rPr>
  </w:style>
  <w:style w:type="character" w:styleId="872">
    <w:name w:val="footnote reference"/>
    <w:basedOn w:val="888"/>
    <w:uiPriority w:val="99"/>
    <w:unhideWhenUsed/>
    <w:rPr>
      <w:vertAlign w:val="superscript"/>
    </w:rPr>
  </w:style>
  <w:style w:type="paragraph" w:styleId="873">
    <w:name w:val="endnote text"/>
    <w:basedOn w:val="887"/>
    <w:link w:val="874"/>
    <w:uiPriority w:val="99"/>
    <w:semiHidden/>
    <w:unhideWhenUsed/>
    <w:pPr>
      <w:spacing w:after="0" w:line="240" w:lineRule="auto"/>
    </w:pPr>
    <w:rPr>
      <w:sz w:val="20"/>
    </w:rPr>
  </w:style>
  <w:style w:type="character" w:styleId="874">
    <w:name w:val="Endnote Text Char"/>
    <w:link w:val="873"/>
    <w:uiPriority w:val="99"/>
    <w:rPr>
      <w:sz w:val="20"/>
    </w:rPr>
  </w:style>
  <w:style w:type="character" w:styleId="875">
    <w:name w:val="endnote reference"/>
    <w:basedOn w:val="888"/>
    <w:uiPriority w:val="99"/>
    <w:semiHidden/>
    <w:unhideWhenUsed/>
    <w:rPr>
      <w:vertAlign w:val="superscript"/>
    </w:rPr>
  </w:style>
  <w:style w:type="paragraph" w:styleId="876">
    <w:name w:val="toc 1"/>
    <w:basedOn w:val="887"/>
    <w:next w:val="887"/>
    <w:uiPriority w:val="39"/>
    <w:unhideWhenUsed/>
    <w:pPr>
      <w:ind w:left="0" w:right="0" w:firstLine="0"/>
      <w:spacing w:after="57"/>
    </w:pPr>
  </w:style>
  <w:style w:type="paragraph" w:styleId="877">
    <w:name w:val="toc 2"/>
    <w:basedOn w:val="887"/>
    <w:next w:val="887"/>
    <w:uiPriority w:val="39"/>
    <w:unhideWhenUsed/>
    <w:pPr>
      <w:ind w:left="283" w:right="0" w:firstLine="0"/>
      <w:spacing w:after="57"/>
    </w:pPr>
  </w:style>
  <w:style w:type="paragraph" w:styleId="878">
    <w:name w:val="toc 3"/>
    <w:basedOn w:val="887"/>
    <w:next w:val="887"/>
    <w:uiPriority w:val="39"/>
    <w:unhideWhenUsed/>
    <w:pPr>
      <w:ind w:left="567" w:right="0" w:firstLine="0"/>
      <w:spacing w:after="57"/>
    </w:pPr>
  </w:style>
  <w:style w:type="paragraph" w:styleId="879">
    <w:name w:val="toc 4"/>
    <w:basedOn w:val="887"/>
    <w:next w:val="887"/>
    <w:uiPriority w:val="39"/>
    <w:unhideWhenUsed/>
    <w:pPr>
      <w:ind w:left="850" w:right="0" w:firstLine="0"/>
      <w:spacing w:after="57"/>
    </w:pPr>
  </w:style>
  <w:style w:type="paragraph" w:styleId="880">
    <w:name w:val="toc 5"/>
    <w:basedOn w:val="887"/>
    <w:next w:val="887"/>
    <w:uiPriority w:val="39"/>
    <w:unhideWhenUsed/>
    <w:pPr>
      <w:ind w:left="1134" w:right="0" w:firstLine="0"/>
      <w:spacing w:after="57"/>
    </w:pPr>
  </w:style>
  <w:style w:type="paragraph" w:styleId="881">
    <w:name w:val="toc 6"/>
    <w:basedOn w:val="887"/>
    <w:next w:val="887"/>
    <w:uiPriority w:val="39"/>
    <w:unhideWhenUsed/>
    <w:pPr>
      <w:ind w:left="1417" w:right="0" w:firstLine="0"/>
      <w:spacing w:after="57"/>
    </w:pPr>
  </w:style>
  <w:style w:type="paragraph" w:styleId="882">
    <w:name w:val="toc 7"/>
    <w:basedOn w:val="887"/>
    <w:next w:val="887"/>
    <w:uiPriority w:val="39"/>
    <w:unhideWhenUsed/>
    <w:pPr>
      <w:ind w:left="1701" w:right="0" w:firstLine="0"/>
      <w:spacing w:after="57"/>
    </w:pPr>
  </w:style>
  <w:style w:type="paragraph" w:styleId="883">
    <w:name w:val="toc 8"/>
    <w:basedOn w:val="887"/>
    <w:next w:val="887"/>
    <w:uiPriority w:val="39"/>
    <w:unhideWhenUsed/>
    <w:pPr>
      <w:ind w:left="1984" w:right="0" w:firstLine="0"/>
      <w:spacing w:after="57"/>
    </w:pPr>
  </w:style>
  <w:style w:type="paragraph" w:styleId="884">
    <w:name w:val="toc 9"/>
    <w:basedOn w:val="887"/>
    <w:next w:val="887"/>
    <w:uiPriority w:val="39"/>
    <w:unhideWhenUsed/>
    <w:pPr>
      <w:ind w:left="2268" w:right="0" w:firstLine="0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887"/>
    <w:next w:val="887"/>
    <w:uiPriority w:val="99"/>
    <w:unhideWhenUsed/>
    <w:pPr>
      <w:spacing w:after="0" w:afterAutospacing="0"/>
    </w:pPr>
  </w:style>
  <w:style w:type="paragraph" w:styleId="887" w:default="1">
    <w:name w:val="Normal"/>
    <w:qFormat/>
  </w:style>
  <w:style w:type="character" w:styleId="888" w:default="1">
    <w:name w:val="Default Paragraph Font"/>
    <w:uiPriority w:val="1"/>
    <w:semiHidden/>
    <w:unhideWhenUsed/>
  </w:style>
  <w:style w:type="table" w:styleId="8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0" w:default="1">
    <w:name w:val="No List"/>
    <w:uiPriority w:val="99"/>
    <w:semiHidden/>
    <w:unhideWhenUsed/>
  </w:style>
  <w:style w:type="paragraph" w:styleId="89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92">
    <w:name w:val="List Paragraph"/>
    <w:basedOn w:val="887"/>
    <w:uiPriority w:val="34"/>
    <w:qFormat/>
    <w:pPr>
      <w:contextualSpacing/>
      <w:ind w:left="720"/>
    </w:pPr>
  </w:style>
  <w:style w:type="character" w:styleId="893">
    <w:name w:val="Hyperlink"/>
    <w:basedOn w:val="888"/>
    <w:uiPriority w:val="99"/>
    <w:semiHidden/>
    <w:unhideWhenUsed/>
    <w:rPr>
      <w:color w:val="0000ff"/>
      <w:u w:val="single"/>
    </w:rPr>
  </w:style>
  <w:style w:type="paragraph" w:styleId="894">
    <w:name w:val="Balloon Text"/>
    <w:basedOn w:val="887"/>
    <w:link w:val="89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5" w:customStyle="1">
    <w:name w:val="Текст выноски Знак"/>
    <w:basedOn w:val="888"/>
    <w:link w:val="894"/>
    <w:uiPriority w:val="99"/>
    <w:semiHidden/>
    <w:rPr>
      <w:rFonts w:ascii="Tahoma" w:hAnsi="Tahoma" w:cs="Tahoma"/>
      <w:sz w:val="16"/>
      <w:szCs w:val="16"/>
    </w:rPr>
  </w:style>
  <w:style w:type="table" w:styleId="896">
    <w:name w:val="Table Grid"/>
    <w:basedOn w:val="88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7">
    <w:name w:val="Header"/>
    <w:basedOn w:val="887"/>
    <w:link w:val="89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8" w:customStyle="1">
    <w:name w:val="Верхний колонтитул Знак"/>
    <w:basedOn w:val="888"/>
    <w:link w:val="897"/>
    <w:uiPriority w:val="99"/>
  </w:style>
  <w:style w:type="paragraph" w:styleId="899">
    <w:name w:val="Footer"/>
    <w:basedOn w:val="887"/>
    <w:link w:val="90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0" w:customStyle="1">
    <w:name w:val="Нижний колонтитул Знак"/>
    <w:basedOn w:val="888"/>
    <w:link w:val="899"/>
    <w:uiPriority w:val="99"/>
  </w:style>
  <w:style w:type="paragraph" w:styleId="901">
    <w:name w:val="Caption"/>
    <w:basedOn w:val="887"/>
    <w:next w:val="887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902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wmf"/><Relationship Id="rId13" Type="http://schemas.openxmlformats.org/officeDocument/2006/relationships/image" Target="media/image2.wmf"/><Relationship Id="rId14" Type="http://schemas.openxmlformats.org/officeDocument/2006/relationships/image" Target="media/image3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442CFC-C6FF-4679-A603-71C9BD5E9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Матюхин Андрей Николаевич</dc:creator>
  <cp:revision>9</cp:revision>
  <dcterms:created xsi:type="dcterms:W3CDTF">2023-02-10T06:15:00Z</dcterms:created>
  <dcterms:modified xsi:type="dcterms:W3CDTF">2024-02-09T06:00:49Z</dcterms:modified>
</cp:coreProperties>
</file>