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98"/>
        <w:jc w:val="right"/>
        <w:spacing w:after="0" w:line="25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Приложение 1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-426"/>
        <w:jc w:val="center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ОТЧЕТ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ind w:left="-426"/>
        <w:jc w:val="center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результативности и эффективности </w:t>
      </w:r>
      <w:r>
        <w:rPr>
          <w:rFonts w:ascii="Times New Roman" w:hAnsi="Times New Roman" w:cs="Times New Roman"/>
          <w:sz w:val="24"/>
        </w:rPr>
        <w:t xml:space="preserve">деятельности 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left="-426"/>
        <w:jc w:val="center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исполнительных </w:t>
      </w:r>
      <w:r>
        <w:rPr>
          <w:rFonts w:ascii="Times New Roman" w:hAnsi="Times New Roman" w:cs="Times New Roman"/>
          <w:sz w:val="24"/>
        </w:rPr>
        <w:t xml:space="preserve">органов </w:t>
      </w:r>
      <w:r>
        <w:rPr>
          <w:rFonts w:ascii="Times New Roman" w:hAnsi="Times New Roman" w:cs="Times New Roman"/>
          <w:sz w:val="24"/>
        </w:rPr>
        <w:t xml:space="preserve">государ</w:t>
      </w:r>
      <w:bookmarkStart w:id="0" w:name="_GoBack"/>
      <w:r/>
      <w:bookmarkEnd w:id="0"/>
      <w:r>
        <w:rPr>
          <w:rFonts w:ascii="Times New Roman" w:hAnsi="Times New Roman" w:cs="Times New Roman"/>
          <w:sz w:val="24"/>
        </w:rPr>
        <w:t xml:space="preserve">ственной власти Новосибирской области по осуществлению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left="-426"/>
        <w:jc w:val="center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регионального государственного контроля (надзора)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left="-426"/>
        <w:jc w:val="center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</w:t>
      </w:r>
      <w:r>
        <w:rPr>
          <w:rFonts w:ascii="Times New Roman" w:hAnsi="Times New Roman" w:cs="Times New Roman"/>
          <w:sz w:val="24"/>
        </w:rPr>
        <w:t xml:space="preserve">2022 год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left="-426"/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1573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5812"/>
        <w:gridCol w:w="851"/>
        <w:gridCol w:w="1134"/>
        <w:gridCol w:w="1134"/>
        <w:gridCol w:w="1842"/>
        <w:gridCol w:w="851"/>
        <w:gridCol w:w="850"/>
      </w:tblGrid>
      <w:tr>
        <w:trPr/>
        <w:tc>
          <w:tcPr>
            <w:gridSpan w:val="9"/>
            <w:tcW w:w="15735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исполнительного органа государственной власти Новосибирской области, осуществляющего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</w:t>
            </w:r>
            <w:r>
              <w:rPr>
                <w:rFonts w:ascii="Times New Roman" w:hAnsi="Times New Roman" w:cs="Times New Roman"/>
              </w:rPr>
              <w:t xml:space="preserve">ый</w:t>
            </w:r>
            <w:r>
              <w:rPr>
                <w:rFonts w:ascii="Times New Roman" w:hAnsi="Times New Roman" w:cs="Times New Roman"/>
              </w:rPr>
              <w:t xml:space="preserve"> государственн</w:t>
            </w:r>
            <w:r>
              <w:rPr>
                <w:rFonts w:ascii="Times New Roman" w:hAnsi="Times New Roman" w:cs="Times New Roman"/>
              </w:rPr>
              <w:t xml:space="preserve">ый</w:t>
            </w:r>
            <w:r>
              <w:rPr>
                <w:rFonts w:ascii="Times New Roman" w:hAnsi="Times New Roman" w:cs="Times New Roman"/>
              </w:rPr>
              <w:t xml:space="preserve"> контрол</w:t>
            </w:r>
            <w:r>
              <w:rPr>
                <w:rFonts w:ascii="Times New Roman" w:hAnsi="Times New Roman" w:cs="Times New Roman"/>
              </w:rPr>
              <w:t xml:space="preserve">ь</w:t>
            </w:r>
            <w:r>
              <w:rPr>
                <w:rFonts w:ascii="Times New Roman" w:hAnsi="Times New Roman" w:cs="Times New Roman"/>
              </w:rPr>
              <w:t xml:space="preserve"> (надзор)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gridSpan w:val="9"/>
            <w:tcW w:w="15735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Министерство жилищно-коммунального хозяйства и энергетики Новосибирской области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/>
        <w:tc>
          <w:tcPr>
            <w:gridSpan w:val="9"/>
            <w:tcW w:w="15735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вида регионального госу</w:t>
            </w:r>
            <w:r>
              <w:rPr>
                <w:rFonts w:ascii="Times New Roman" w:hAnsi="Times New Roman" w:cs="Times New Roman"/>
              </w:rPr>
              <w:t xml:space="preserve">дарственного контроля (надзора)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gridSpan w:val="9"/>
            <w:tcW w:w="15735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Региональный государственный надзор в области защиты населения и территорий от чрезвычайных ситуаций природного и техногенного характера в Новосибирской области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(индекс) показателя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3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Формула расчета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3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Базовое значение показателя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Целевое значение показателя </w:t>
            </w:r>
            <w:r>
              <w:rPr>
                <w:rFonts w:ascii="Times New Roman" w:hAnsi="Times New Roman" w:cs="Times New Roman"/>
              </w:rPr>
              <w:t xml:space="preserve">на 2023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Фактическое значение показателя</w:t>
            </w:r>
            <w:r>
              <w:rPr>
                <w:rFonts w:ascii="Times New Roman" w:hAnsi="Times New Roman" w:cs="Times New Roman"/>
              </w:rPr>
              <w:t xml:space="preserve"> за 2022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данных для определения значения показателя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Балльная оценка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gridSpan w:val="9"/>
            <w:tcW w:w="15735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b/>
              </w:rPr>
              <w:outlineLvl w:val="2"/>
            </w:pPr>
            <w:r>
              <w:rPr>
                <w:rFonts w:ascii="Times New Roman" w:hAnsi="Times New Roman" w:cs="Times New Roman"/>
                <w:b/>
              </w:rPr>
              <w:t xml:space="preserve">Ключевые показатели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144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погибших человек в результате чрезвычай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ситуаций, на 100000 жителей.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5812" w:type="dxa"/>
            <w:vAlign w:val="center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* 100000 / 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отношение количества человек, погибших в результате происшедших чрезвычайных ситуаций природного и техногенного характера, на 100000 жителей Новосибирской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 - расчетная единица;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- количество человек, погибших в результате чрезвычайных ситуаций;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- количество населения Новосибирской области по данным переписи на расчетную дату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&lt;= 0,107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Сводный доклад об осуществлении на территории Новосибирской области регионального государственного надзора в области защиты населения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от ЧС природного и техногенного характера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80% отклонение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человек, травмированных в результате чрезвычайных ситуаций, на 100000 жителей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* 100000 / 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оказатель, характеризующий отношение количества человек, получивших вред (ущерб) здоровью (далее - травмированных) в результате чрезвычайных ситуаций природного и техногенного характера, на 100000 жителей Новосибирской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 - расчетная единица;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- количество человек, травмированных в результате чрезвычайных ситуаций;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- количество населения Новосибирской области по данным переписи населения на расчетную 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,358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Сводный доклад об осуществлении на территории Новосибирской области регионального государственного надзора в области защиты населения и территорий от ЧС природного и техногенного характера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</w:t>
            </w: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Ущерб, нанесенный экономике Новосибирской области в результате происшедших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= У / ВРП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материальный ущерб, нанесенный экономике Новосибирской области в результате происшедших чрезвычайных ситуаций природного и техногенного характера, к величине валового регионального продукта Новосибирской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- расчетная единица показателя;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- причиненный ущерб в результате происшедших чрезвычайных ситуаций природного и техногенного характера;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ВРП - величина валового регионального продукта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&lt;= 0,037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0109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ущерба от чрезвычайных ситуаций, утвержденная приказом МЧС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01.09.2020 №631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чрезвычайных ситуаций природного и техногенного характера, происшедших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= Кр / Кп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количество предотвращенных чрезвычайных ситуаций природного и техногенного характера на защищаемой территории.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- расчетная единица показателя количества предотвращенных чрезвычайных ситуаций природного и техногенного характера;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 - количество чрезвычайных ситуаций природного и техногенного характера в предшествующем периоде;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- количество чрезвычайных ситуаций природного и техногенного характера в расчетном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&lt;=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Сводный доклад об осуществлении на территории Новосибирской области регионального государственного надзора в области защиты населения и территорий от ЧС природного и техногенного характера в 2023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gridSpan w:val="9"/>
            <w:tcW w:w="15735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b/>
              </w:rPr>
              <w:outlineLvl w:val="2"/>
            </w:pPr>
            <w:r>
              <w:rPr>
                <w:rFonts w:ascii="Times New Roman" w:hAnsi="Times New Roman" w:cs="Times New Roman"/>
                <w:b/>
              </w:rPr>
              <w:t xml:space="preserve">Индикативные показатели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0"/>
            </w:pPr>
            <w:r>
              <w:rPr>
                <w:rFonts w:ascii="Times New Roman" w:hAnsi="Times New Roman" w:cs="Times New Roman"/>
              </w:rPr>
              <w:t xml:space="preserve">Б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8"/>
            <w:tcW w:w="147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эффективности, отражающие уровень безопасности охраняемых законо</w:t>
            </w:r>
            <w:r>
              <w:rPr>
                <w:rFonts w:ascii="Times New Roman" w:hAnsi="Times New Roman" w:cs="Times New Roman"/>
              </w:rPr>
              <w:t xml:space="preserve">м ценностей, выражающийся в минимизации причинения вреда (ущерба), с учетом задействованных трудовых, материальных и финансовых ресурсов и административных и финансовых издержек поднадзорных субъектов при осуществлении в отношении них надзорных мероприятий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</w:t>
            </w:r>
            <w:r>
              <w:rPr>
                <w:rFonts w:ascii="Times New Roman" w:hAnsi="Times New Roman" w:cs="Times New Roman"/>
              </w:rPr>
              <w:t xml:space="preserve">ффективность надзорной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19325" cy="428625"/>
                      <wp:effectExtent l="0" t="0" r="0" b="0"/>
                      <wp:docPr id="1" name="_x0000_i128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1932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74.75pt;height:33.75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  <w:outlineLvl w:val="0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5750" cy="200025"/>
                      <wp:effectExtent l="0" t="0" r="0" b="0"/>
                      <wp:docPr id="2" name="_x0000_i128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2.50pt;height:15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- разница между причиненным ущербом в предшествующем периоде и причиненным ущербом в текущем периоде (млн руб.);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3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47650" cy="180975"/>
                      <wp:effectExtent l="0" t="0" r="0" b="0"/>
                      <wp:docPr id="3" name="_x0000_i128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76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9.50pt;height:14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- разница между расходами на исполнение полномочий в предшествующем периоде и расходами на исполнение полномочий в текущем периоде (млн руб.);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3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5750" cy="180975"/>
                      <wp:effectExtent l="0" t="0" r="0" b="0"/>
                      <wp:docPr id="4" name="_x0000_i128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22.50pt;height:14.2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- разница между издержками субъектов надзора в предшествующем периоде и издержками субъектов надзора в текущем периоде (млн руб.);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- причиненный ущерб в предшествующем периоде (млн руб.);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 - расходы на исполнение полномочий в предшествующем периоде (млн руб.);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- издержки субъектов надзора в предшествующем периоде (млн руб.)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84%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0"/>
            </w:pP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8"/>
            <w:tcW w:w="147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Индикативные показатели, характеризующие различные аспекты контрольно-надзорной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В.1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8"/>
            <w:tcW w:w="147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240"/>
        </w:trPr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В.1.1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 (обращений) на действия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rPr>
                <w:position w:val="-14"/>
              </w:rPr>
            </w:pPr>
            <w:r>
              <w:rPr>
                <w:position w:val="-14"/>
              </w:rPr>
            </w:r>
            <w:r>
              <w:rPr>
                <w:position w:val="-14"/>
              </w:rPr>
            </w:r>
            <w:r>
              <w:rPr>
                <w:position w:val="-1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731"/>
        </w:trPr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В.1.2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количества жалоб на действия должностных лиц от общего количества проверок,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2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82420" cy="429895"/>
                      <wp:effectExtent l="0" t="0" r="0" b="0"/>
                      <wp:docPr id="5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82420" cy="429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24.60pt;height:33.8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Дкж - доля количества жалоб;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- количество поступивших жалоб;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- количество проверок в отчетном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767"/>
        </w:trPr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В.1.3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исков на действия должностных лиц, направленных в 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position w:val="-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position w:val="-2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position w:val="-22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89"/>
        </w:trPr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В.1.4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оля количества судебных исков на действия должностных лиц от общего количества проверок,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2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50670" cy="429895"/>
                      <wp:effectExtent l="0" t="0" r="0" b="0"/>
                      <wp:docPr id="6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50669" cy="429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22.10pt;height:33.85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Дки - доля количества судебных исков;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- количество судебных исков;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- количество проверок в отчетном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89"/>
        </w:trPr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В.1.5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position w:val="-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position w:val="-2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position w:val="-22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74"/>
        </w:trPr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В.1.6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человек, погибших при чрезвычайных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position w:val="-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position w:val="-2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position w:val="-22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298"/>
        </w:trPr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В.1.7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человек, пострадавших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position w:val="-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position w:val="-2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position w:val="-22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240"/>
        </w:trPr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В.1.8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ричиненный ущерб, нанесенный экономике Новосибирской области в результате происшедших чрезвычайных ситуаций природного и техногенного характера (млн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54835" cy="325120"/>
                      <wp:effectExtent l="0" t="0" r="0" b="0"/>
                      <wp:docPr id="7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54835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46.05pt;height:25.60pt;mso-wrap-distance-left:0.00pt;mso-wrap-distance-top:0.00pt;mso-wrap-distance-right:0.00pt;mso-wrap-distance-bottom:0.0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7480" cy="167640"/>
                      <wp:effectExtent l="0" t="0" r="0" b="0"/>
                      <wp:docPr id="8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748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2.40pt;height:13.20pt;mso-wrap-distance-left:0.00pt;mso-wrap-distance-top:0.00pt;mso-wrap-distance-right:0.00pt;mso-wrap-distance-bottom:0.0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сумма количества случаев причинения вреда (ущерба) в результате происшедших чрезвычайных ситуаций;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- причиненный вред (ущерб) в результате происшедшей чрезвычайной ситуации (млн руб.);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9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25120" cy="262255"/>
                      <wp:effectExtent l="0" t="0" r="0" b="0"/>
                      <wp:docPr id="9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5120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5.60pt;height:20.65pt;mso-wrap-distance-left:0.00pt;mso-wrap-distance-top:0.00pt;mso-wrap-distance-right:0.00pt;mso-wrap-distance-bottom:0.0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случаев причинения вреда (ущерба) в результате происшедших чрезвычайных ситуаций (число);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9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5280" cy="262255"/>
                      <wp:effectExtent l="0" t="0" r="0" b="0"/>
                      <wp:docPr id="10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35280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6.40pt;height:20.65pt;mso-wrap-distance-left:0.00pt;mso-wrap-distance-top:0.00pt;mso-wrap-distance-right:0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причиненный вред (ущерб) в результате происшедшей чрезвычайной ситуации (млн 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ВИС СПО ИАП МЖКХиЭ НСО; (решения судов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В.1.9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атериальный ущерб, причиненный в результате неправомерных действий должностных лиц (млн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54835" cy="325120"/>
                      <wp:effectExtent l="0" t="0" r="0" b="0"/>
                      <wp:docPr id="1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54835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146.05pt;height:25.60pt;mso-wrap-distance-left:0.00pt;mso-wrap-distance-top:0.00pt;mso-wrap-distance-right:0.00pt;mso-wrap-distance-bottom:0.0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7480" cy="167640"/>
                      <wp:effectExtent l="0" t="0" r="0" b="0"/>
                      <wp:docPr id="12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748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12.40pt;height:13.20pt;mso-wrap-distance-left:0.00pt;mso-wrap-distance-top:0.00pt;mso-wrap-distance-right:0.00pt;mso-wrap-distance-bottom:0.0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сумма количества случаев причинения вреда (ущерба) в результате неправомерных действий должностных лиц;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- причиненный вред (ущерб) (млн руб.);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9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25120" cy="262255"/>
                      <wp:effectExtent l="0" t="0" r="0" b="0"/>
                      <wp:docPr id="13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5120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25.60pt;height:20.65pt;mso-wrap-distance-left:0.00pt;mso-wrap-distance-top:0.00pt;mso-wrap-distance-right:0.00pt;mso-wrap-distance-bottom:0.0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случаев причинения вреда (ущерба) в результате неправомерных действий должностных лиц (число);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9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5280" cy="262255"/>
                      <wp:effectExtent l="0" t="0" r="0" b="0"/>
                      <wp:docPr id="14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35280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26.40pt;height:20.65pt;mso-wrap-distance-left:0.00pt;mso-wrap-distance-top:0.00pt;mso-wrap-distance-right:0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вред (ущерб), нанесенный в результате неправомерных действий должностных лиц (млн 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ВИС СПО ИАП МЖКХиЭ НСО; (решения судов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В.1.10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бъем издержек субъектов надзора, возникающих в связи с проведением в отношении них надзорных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(млн.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= Ум + (Кн x Ипро), где: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- объем издержек субъектов надзора;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 - материальный ущерб от действий (бездействия) должностных лиц надзорного органа, в том числе с учетом отмененных по решению суда результатов проверок;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Ипро - издержки субъектов надзора на прохождение надзорных мероприятий (рассчитывается как произведение средней продолжительности надзорного мероприятия на среднее число часов работников, задействованных в их проведении, и среднюю заработную плату в час);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 - количество проведенных надзорных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издержках юридических лиц и ИП; Сведения из ВИС СПО ИАП МЖКХиЭ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  <w:outlineLvl w:val="3"/>
            </w:pPr>
            <w:r>
              <w:rPr>
                <w:rFonts w:ascii="Times New Roman" w:hAnsi="Times New Roman" w:cs="Times New Roman"/>
              </w:rPr>
              <w:t xml:space="preserve">В.2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8"/>
            <w:tcW w:w="14742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ндикативные показатели, характеризующие качество проводимых надзорных мероприятий в части их направленности на устранение объема потенциального вреда (ущерба) охраняемым законом ценностям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В.2.1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надзорных мероприятий в отношении субъектов надзора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В.2.2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субъектов надзора, допустивших нарушения, в результате которых причинен вред (ущерб) или была создана угроза его причинения, выявленные в результате проведения плановых надзорных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В.2.3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оля субъектов надзора, допустивших нарушения,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результате которых причинен вред (ущерб) или была создана угроза его причинения, выявленных в результате проведения надзорных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2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91970" cy="429895"/>
                      <wp:effectExtent l="0" t="0" r="0" b="0"/>
                      <wp:docPr id="15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91970" cy="429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141.10pt;height:33.85pt;mso-wrap-distance-left:0.00pt;mso-wrap-distance-top:0.00pt;mso-wrap-distance-right:0.00pt;mso-wrap-distance-bottom:0.00pt;" stroked="f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 - количество проверенных субъектов надзора в отчетном периоде;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Снд - количество субъектов надзора, допустивших нарушения;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Дснд - доля субъектов надзора, допустивших 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100%</w:t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В.2.4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субъектов надзора, у которых были устранены нарушения, выявленные в результате проведения надзорных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В.2.5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оля субъектов надзора, у которых были устранены нарушения, выявленные в результате проведения надзорных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%.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2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91970" cy="429895"/>
                      <wp:effectExtent l="0" t="0" r="0" b="0"/>
                      <wp:docPr id="16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91970" cy="429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141.10pt;height:33.85pt;mso-wrap-distance-left:0.00pt;mso-wrap-distance-top:0.00pt;mso-wrap-distance-right:0.00pt;mso-wrap-distance-bottom:0.00pt;" stroked="f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 - количество проверенных субъектов надзора в отчетном периоде;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Сну - количество субъектов надзора, устранивших нарушения;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Дсну - доля субъектов надзора, устранивших 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В.2.6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заявлений (обращений) с указанием фактов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нарушений, поступивших от физических и юридических лиц, сообщений органов местного самоуправления, средств массовой информации с указанием фактов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В.2.7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выданных органом надзора предписаний об устранении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В.2.8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предписаний, не выполненных в установленные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В.2.9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оля невыполненных предписаний от общего количества выданных предписаний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2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29105" cy="429895"/>
                      <wp:effectExtent l="0" t="0" r="0" b="0"/>
                      <wp:docPr id="17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29105" cy="429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" o:spid="_x0000_s16" type="#_x0000_t75" style="width:136.15pt;height:33.85pt;mso-wrap-distance-left:0.00pt;mso-wrap-distance-top:0.00pt;mso-wrap-distance-right:0.00pt;mso-wrap-distance-bottom:0.00pt;" stroked="f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- количество выданных предписаний в отчетном периоде;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Пнп - количество невыполненных предписаний;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Днп - доля невыполненных предписаний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100%</w:t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В.2.10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оля выполненных предписаний от общего количества выданных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%.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2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29105" cy="429895"/>
                      <wp:effectExtent l="0" t="0" r="0" b="0"/>
                      <wp:docPr id="18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29105" cy="429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" o:spid="_x0000_s17" type="#_x0000_t75" style="width:136.15pt;height:33.85pt;mso-wrap-distance-left:0.00pt;mso-wrap-distance-top:0.00pt;mso-wrap-distance-right:0.00pt;mso-wrap-distance-bottom:0.00pt;" stroked="f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- количество выданных предписаний в отчетном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Пип - количество выполненных предписаний;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 - доля выполненных предписаний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В.2.11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бщее количество нарушений обязательных требований, выявленных в ходе плановых надзорных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В.2.12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неустраненных нарушений обязательных требований, выявленных в ходе внеплановых надзорных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В.2.13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оля неустраненных нарушений от общего количества выявленных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%.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2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29105" cy="429895"/>
                      <wp:effectExtent l="0" t="0" r="0" b="0"/>
                      <wp:docPr id="19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29105" cy="429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" o:spid="_x0000_s18" type="#_x0000_t75" style="width:136.15pt;height:33.85pt;mso-wrap-distance-left:0.00pt;mso-wrap-distance-top:0.00pt;mso-wrap-distance-right:0.00pt;mso-wrap-distance-bottom:0.00pt;" stroked="f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 - количество нарушений, допущенных субъектами надзора в отчетном периоде;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Кнн - количество неустраненных нарушений;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Днн - доля неустраненных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100%</w:t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В.2.14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надзорных мероприятий, проведенных органами прокуратуры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по направленной информации с привлечением должностных лиц регионального государственного надзора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В.2.15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надзорных мероприятий, проведенных с привлечением экспертных организаций и экспертов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В.2.16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должностных лиц, прошедших в течение последних трех лет переобучение или 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В.2.17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оля должностных лиц, осуществляющих надзорные функции, прошедших в течение последних трех лет переобучение или 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%.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2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08150" cy="429895"/>
                      <wp:effectExtent l="0" t="0" r="0" b="0"/>
                      <wp:docPr id="20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08150" cy="429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" o:spid="_x0000_s19" type="#_x0000_t75" style="width:134.50pt;height:33.85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- количество должностных лиц, осуществляющих надзорные функции;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Кдл - количество должностных лиц, прошедших переобучение или повышение квалификации;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Ддл - доля должностных лиц, прошедших переобучение или 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  <w:outlineLvl w:val="3"/>
            </w:pPr>
            <w:r>
              <w:rPr>
                <w:rFonts w:ascii="Times New Roman" w:hAnsi="Times New Roman" w:cs="Times New Roman"/>
              </w:rPr>
              <w:t xml:space="preserve">В.3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8"/>
            <w:tcW w:w="14742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ндикативные показатели, характеризующие параметры проведенных надзорных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8"/>
            <w:tcW w:w="14742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В.3.1.1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бщее количество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В.3.1.2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бщее количество плановых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В.3.1.3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бщее количество внеплановых проверок по основаниям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В.3.1.3.1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внеплановых проверок по проверке исполнения ранее выданных предписаний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В.3.1.3.2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внеплановых проверок, проведенных по заявлению, обращению, информации граждан, юридических лиц, общественных объединений, средств массовой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государственной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В.3.1.3.3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внеплановых проверок, проведенных по приказу (распоряжению) руководителя органа регионального государственного надзора, изданного в соответствии с поручениями Президента Российской Федерации, Правительства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В.3.1.3.4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внеплановых проверок, проведенных по требованию органа прокуратуры о проведении внеплановой проверки в рамках надзора за исполнением законодательства в области защиты населения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от ЧС по поступившим в органы прокуратуры материалам и обращениям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В.3.1.3.5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внеплановых проверок, проведенных на основании мотивированного представления должностного лица органа регионального государственного надзора по результатам рассмотрения или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дварительной проверки поступивших в орган регионального государственного надзора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В.3.1.4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заявлений, направленных в органы прокуратуры, о согласовании проведения внеплановых выездных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В.3.1.5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полученных решений органов прокуратуры о согласовании проведения внеплановых выездных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В.3.1.6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решений органов прокуратуры об отказе в согласовании проведения внеплановых выездных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В.3.1.7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оля заявлений, направленных в органы прокуратуры,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согласовании проведения внеплановых выездных проверок, в согласовании которых было отказано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%.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2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66240" cy="429895"/>
                      <wp:effectExtent l="0" t="0" r="0" b="0"/>
                      <wp:docPr id="2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66240" cy="429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" o:spid="_x0000_s20" type="#_x0000_t75" style="width:131.20pt;height:33.85pt;mso-wrap-distance-left:0.00pt;mso-wrap-distance-top:0.00pt;mso-wrap-distance-right:0.00pt;mso-wrap-distance-bottom:0.0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 - количество заявлений о согласовании внеплановых проверок;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Кзо - количество заявлений, в согласовании которых было отказано;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Дзо - доля заявлений, в согласовании которых было отказано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75%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В.3.1.8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внесенных органами прокуратуры представлений об устранении нарушений, связанных с осуществлением регионального государственного надзора за выполнением субъектами надзора установленных требований по защите населения и территорий от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В.3.1.9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проверок, результаты которых были отменены или признаны недействительными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В.3.1.10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оля проверок, результаты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были отменены или признаны недействительными, от общего количества проверок субъектов надзора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%.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2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8310" cy="429895"/>
                      <wp:effectExtent l="0" t="0" r="0" b="0"/>
                      <wp:docPr id="22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8310" cy="429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" o:spid="_x0000_s21" type="#_x0000_t75" style="width:135.30pt;height:33.85pt;mso-wrap-distance-left:0.00pt;mso-wrap-distance-top:0.00pt;mso-wrap-distance-right:0.00pt;mso-wrap-distance-bottom:0.00pt;" stroked="f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 - количество проверок, проведенных в отчетном периоде;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 - количество отмененных проверок;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 - доля отмененных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7"/>
            <w:tcW w:w="13892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роизводство по делам об административных правонарушениях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В.3.6.1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протоколов об административных правонарушениях, составленных должностными лицами, осуществляющими региональный государственный надзор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В.3.6.1.1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административных протоколов, составленных на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В.3.6.1.2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административных протоколов, составленных на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В.3.6.4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постановлений,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вынесенных судами, о наказании в виде административного штрафа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В.3.6.5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постановлений, вынесенных судами, о прекращении административного производства в рамках </w:t>
            </w:r>
            <w:hyperlink r:id="rId27" w:tooltip="consultantplus://offline/ref=080FC5B9F8269062E7E38982FB79F7AD768C5143A7CF02CBB1C63B9F9692E739ECEA8F68109D86CABDC8863998B3984EE7A52578FFFBT0ZFF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час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т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и 4 статьи 24.5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В.3.6.6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постановлений, вынесенных судами, о наказании в виде предупреждения в рамках </w:t>
            </w:r>
            <w:hyperlink r:id="rId28" w:tooltip="consultantplus://offline/ref=080FC5B9F8269062E7E38982FB79F7AD768C5143A7CF02CBB1C63B9F9692E739ECEA8F6713998ECABDC8863998B3984EE7A52578FFFBT0ZFF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статьи 4.1.1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КоАП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В.3.6.7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постановлений, вынесенных судами, о наказании в виде устного замечания в рамках </w:t>
            </w:r>
            <w:hyperlink r:id="rId29" w:tooltip="consultantplus://offline/ref=080FC5B9F8269062E7E38982FB79F7AD768C5143A7CF02CBB1C63B9F9692E739ECEA8F61119B8EC7ED92963DD1E69C50EEB93B78E1FB0C9DTEZDF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статьи 2.9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В.3.6.8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бщая сумма штрафов, назначенных по результатам рассмотрения судами дел об административных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правонарушениях (тыс. 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В.3.6.8.1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умма штрафов, назначенных в отношении должностных лиц (тыс. 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В.3.6.8.2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умма штрафов, назначенных в отношении юридических лиц (тыс. 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В.3.6.9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редний размер назначенного штрафа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(тыс. 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2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05230" cy="429895"/>
                      <wp:effectExtent l="0" t="0" r="0" b="0"/>
                      <wp:docPr id="23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3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05230" cy="429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" o:spid="_x0000_s22" type="#_x0000_t75" style="width:94.90pt;height:33.85pt;mso-wrap-distance-left:0.00pt;mso-wrap-distance-top:0.00pt;mso-wrap-distance-right:0.00pt;mso-wrap-distance-bottom:0.00pt;" stroked="f">
                      <v:path textboxrect="0,0,0,0"/>
                      <v:imagedata r:id="rId3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- сумма назначенных штрафов в отчетном периоде;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Кш - количество назначенных штрафов;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Срш - средний размер назначенных штрафов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8"/>
            <w:tcW w:w="14742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В.3.8.1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Количество проведенных профилактических мероприятий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В.3.8.2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Количество проведенных профилактических визитов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В.3.8.3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Количество проведенных обязательных профилактических визитов</w:t>
            </w:r>
            <w:r/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В.3.8.4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Количество субъектов надзора отказавшиеся от проведения профилактических визитов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В.3.8.5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Количество проведенных консультаций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В.3.8.6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профилактических мероприятий в отношении проверенных субъектов надзора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В.3.8.7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вынесенных предостережений о недопустимости нарушений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В.3.8.8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оля субъектов надзора, в отношении которых проведены профилактические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 общего количества субъектов надзора,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2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27860" cy="429895"/>
                      <wp:effectExtent l="0" t="0" r="0" b="0"/>
                      <wp:docPr id="24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3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27860" cy="429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" o:spid="_x0000_s23" type="#_x0000_t75" style="width:151.80pt;height:33.85pt;mso-wrap-distance-left:0.00pt;mso-wrap-distance-top:0.00pt;mso-wrap-distance-right:0.00pt;mso-wrap-distance-bottom:0.00pt;" stroked="f">
                      <v:path textboxrect="0,0,0,0"/>
                      <v:imagedata r:id="rId3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Кпрф - количество проведенных профилактических мероприятий в отчетном периоде;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Ксн - количество субъектов надзора;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Дпрф - доля субъектов надзора, в отношении которых проведены профилактические мероприятия от общего количества субъектов надзора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11,97%</w:t>
            </w: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  <w:outlineLvl w:val="3"/>
            </w:pPr>
            <w:r>
              <w:rPr>
                <w:rFonts w:ascii="Times New Roman" w:hAnsi="Times New Roman" w:cs="Times New Roman"/>
              </w:rPr>
              <w:t xml:space="preserve">В.4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8"/>
            <w:tcW w:w="14742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ндикативные показатели, характеризующие объем задействованных трудовых, материальных и финансовых ресурсов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В.4.1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финансовых средств, выделенных в отчетном периоде на выполнение надзорных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7 230 628,90</w:t>
            </w:r>
            <w:r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В.4.2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штатных единиц в органе надзора,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В.4.3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штатных единиц в органе надзора, в должностные обязанности которых входит выполнение надзорных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______________</w:t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6838" w:h="11906" w:orient="landscape"/>
      <w:pgMar w:top="568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character" w:styleId="815">
    <w:name w:val="Footnote Text Char"/>
    <w:link w:val="835"/>
    <w:uiPriority w:val="99"/>
    <w:rPr>
      <w:sz w:val="18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35">
    <w:name w:val="footnote text"/>
    <w:basedOn w:val="830"/>
    <w:link w:val="83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36" w:customStyle="1">
    <w:name w:val="Текст сноски Знак"/>
    <w:basedOn w:val="831"/>
    <w:link w:val="835"/>
    <w:uiPriority w:val="99"/>
    <w:semiHidden/>
    <w:rPr>
      <w:sz w:val="20"/>
      <w:szCs w:val="20"/>
    </w:rPr>
  </w:style>
  <w:style w:type="character" w:styleId="837">
    <w:name w:val="footnote reference"/>
    <w:basedOn w:val="83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Relationship Id="rId10" Type="http://schemas.openxmlformats.org/officeDocument/2006/relationships/image" Target="media/image2.wmf"/><Relationship Id="rId11" Type="http://schemas.openxmlformats.org/officeDocument/2006/relationships/image" Target="media/image3.wmf"/><Relationship Id="rId12" Type="http://schemas.openxmlformats.org/officeDocument/2006/relationships/image" Target="media/image4.wmf"/><Relationship Id="rId13" Type="http://schemas.openxmlformats.org/officeDocument/2006/relationships/image" Target="media/image5.wmf"/><Relationship Id="rId14" Type="http://schemas.openxmlformats.org/officeDocument/2006/relationships/image" Target="media/image6.wmf"/><Relationship Id="rId15" Type="http://schemas.openxmlformats.org/officeDocument/2006/relationships/image" Target="media/image7.wmf"/><Relationship Id="rId16" Type="http://schemas.openxmlformats.org/officeDocument/2006/relationships/image" Target="media/image8.wmf"/><Relationship Id="rId17" Type="http://schemas.openxmlformats.org/officeDocument/2006/relationships/image" Target="media/image9.wmf"/><Relationship Id="rId18" Type="http://schemas.openxmlformats.org/officeDocument/2006/relationships/image" Target="media/image10.wmf"/><Relationship Id="rId19" Type="http://schemas.openxmlformats.org/officeDocument/2006/relationships/image" Target="media/image11.wmf"/><Relationship Id="rId20" Type="http://schemas.openxmlformats.org/officeDocument/2006/relationships/image" Target="media/image12.wmf"/><Relationship Id="rId21" Type="http://schemas.openxmlformats.org/officeDocument/2006/relationships/image" Target="media/image13.wmf"/><Relationship Id="rId22" Type="http://schemas.openxmlformats.org/officeDocument/2006/relationships/image" Target="media/image14.wmf"/><Relationship Id="rId23" Type="http://schemas.openxmlformats.org/officeDocument/2006/relationships/image" Target="media/image15.wmf"/><Relationship Id="rId24" Type="http://schemas.openxmlformats.org/officeDocument/2006/relationships/image" Target="media/image16.wmf"/><Relationship Id="rId25" Type="http://schemas.openxmlformats.org/officeDocument/2006/relationships/image" Target="media/image17.wmf"/><Relationship Id="rId26" Type="http://schemas.openxmlformats.org/officeDocument/2006/relationships/image" Target="media/image18.wmf"/><Relationship Id="rId27" Type="http://schemas.openxmlformats.org/officeDocument/2006/relationships/hyperlink" Target="consultantplus://offline/ref=080FC5B9F8269062E7E38982FB79F7AD768C5143A7CF02CBB1C63B9F9692E739ECEA8F68109D86CABDC8863998B3984EE7A52578FFFBT0ZFF" TargetMode="External"/><Relationship Id="rId28" Type="http://schemas.openxmlformats.org/officeDocument/2006/relationships/hyperlink" Target="consultantplus://offline/ref=080FC5B9F8269062E7E38982FB79F7AD768C5143A7CF02CBB1C63B9F9692E739ECEA8F6713998ECABDC8863998B3984EE7A52578FFFBT0ZFF" TargetMode="External"/><Relationship Id="rId29" Type="http://schemas.openxmlformats.org/officeDocument/2006/relationships/hyperlink" Target="consultantplus://offline/ref=080FC5B9F8269062E7E38982FB79F7AD768C5143A7CF02CBB1C63B9F9692E739ECEA8F61119B8EC7ED92963DD1E69C50EEB93B78E1FB0C9DTEZDF" TargetMode="External"/><Relationship Id="rId30" Type="http://schemas.openxmlformats.org/officeDocument/2006/relationships/image" Target="media/image19.wmf"/><Relationship Id="rId31" Type="http://schemas.openxmlformats.org/officeDocument/2006/relationships/image" Target="media/image20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D5869-5322-4ADD-AE9C-5A039A13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revision>9</cp:revision>
  <dcterms:created xsi:type="dcterms:W3CDTF">2023-02-09T04:21:00Z</dcterms:created>
  <dcterms:modified xsi:type="dcterms:W3CDTF">2024-02-06T10:14:37Z</dcterms:modified>
</cp:coreProperties>
</file>