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6C" w:rsidRPr="00A50E76" w:rsidRDefault="009F2CCB" w:rsidP="008E51A9">
      <w:pPr>
        <w:spacing w:after="100" w:afterAutospacing="1" w:line="240" w:lineRule="auto"/>
        <w:contextualSpacing/>
        <w:jc w:val="center"/>
      </w:pPr>
      <w:r w:rsidRPr="00A50E76">
        <w:t>ЗАКЛЮЧЕНИЕ</w:t>
      </w:r>
    </w:p>
    <w:p w:rsidR="009E616C" w:rsidRPr="00A50E76" w:rsidRDefault="009E616C" w:rsidP="008E51A9">
      <w:pPr>
        <w:spacing w:after="100" w:afterAutospacing="1" w:line="240" w:lineRule="auto"/>
        <w:contextualSpacing/>
        <w:jc w:val="center"/>
      </w:pPr>
      <w:r w:rsidRPr="00A50E76">
        <w:t>об учете замечаний и предложений и (или) причинах их отклонений, поступивших в рамках</w:t>
      </w:r>
      <w:r w:rsidR="00AA455A">
        <w:t xml:space="preserve"> повторного</w:t>
      </w:r>
      <w:r w:rsidRPr="00A50E76">
        <w:t xml:space="preserve"> общественного обсуждения проекта территориальной схемы в области обращения с отходами, в том числе с твердыми коммунальными отходами, Новосибирской области от </w:t>
      </w:r>
      <w:r w:rsidR="00CD5ECB" w:rsidRPr="00A50E76">
        <w:t>10</w:t>
      </w:r>
      <w:r w:rsidRPr="00A50E76">
        <w:t>.</w:t>
      </w:r>
      <w:r w:rsidR="00CD5ECB" w:rsidRPr="00A50E76">
        <w:t>01.</w:t>
      </w:r>
      <w:r w:rsidRPr="00A50E76">
        <w:t>202</w:t>
      </w:r>
      <w:r w:rsidR="00007335" w:rsidRPr="00A50E76">
        <w:t>2</w:t>
      </w:r>
    </w:p>
    <w:p w:rsidR="009E616C" w:rsidRPr="00A50E76" w:rsidRDefault="009E616C" w:rsidP="008E51A9">
      <w:pPr>
        <w:spacing w:after="100" w:afterAutospacing="1"/>
        <w:contextualSpacing/>
        <w:jc w:val="center"/>
      </w:pPr>
    </w:p>
    <w:tbl>
      <w:tblPr>
        <w:tblStyle w:val="a3"/>
        <w:tblW w:w="156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48"/>
        <w:gridCol w:w="2071"/>
        <w:gridCol w:w="4851"/>
        <w:gridCol w:w="3920"/>
      </w:tblGrid>
      <w:tr w:rsidR="00A50E76" w:rsidRPr="00A50E76" w:rsidTr="00BC400D">
        <w:trPr>
          <w:trHeight w:val="1652"/>
          <w:tblHeader/>
        </w:trPr>
        <w:tc>
          <w:tcPr>
            <w:tcW w:w="568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№ п/п</w:t>
            </w:r>
          </w:p>
        </w:tc>
        <w:tc>
          <w:tcPr>
            <w:tcW w:w="2268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Лицо (организация) направившее замечание (предложение) к проекту Постановления</w:t>
            </w:r>
          </w:p>
        </w:tc>
        <w:tc>
          <w:tcPr>
            <w:tcW w:w="1948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Реквизиты документа о направлении замечаний (предложений) к актуализации проекта территориальной схемы</w:t>
            </w:r>
          </w:p>
        </w:tc>
        <w:tc>
          <w:tcPr>
            <w:tcW w:w="2071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Раздел/таблица/</w:t>
            </w:r>
          </w:p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приложение проекта территориальной схемы</w:t>
            </w:r>
          </w:p>
        </w:tc>
        <w:tc>
          <w:tcPr>
            <w:tcW w:w="4851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Замечания и предложения</w:t>
            </w:r>
          </w:p>
        </w:tc>
        <w:tc>
          <w:tcPr>
            <w:tcW w:w="3920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Результат рассмотрения</w:t>
            </w:r>
          </w:p>
        </w:tc>
      </w:tr>
      <w:tr w:rsidR="00A50E76" w:rsidRPr="00A50E76" w:rsidTr="00BC400D">
        <w:trPr>
          <w:trHeight w:val="130"/>
        </w:trPr>
        <w:tc>
          <w:tcPr>
            <w:tcW w:w="568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1</w:t>
            </w:r>
          </w:p>
        </w:tc>
        <w:tc>
          <w:tcPr>
            <w:tcW w:w="2268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2</w:t>
            </w:r>
          </w:p>
        </w:tc>
        <w:tc>
          <w:tcPr>
            <w:tcW w:w="1948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3</w:t>
            </w:r>
          </w:p>
        </w:tc>
        <w:tc>
          <w:tcPr>
            <w:tcW w:w="2071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4</w:t>
            </w:r>
          </w:p>
        </w:tc>
        <w:tc>
          <w:tcPr>
            <w:tcW w:w="4851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5</w:t>
            </w:r>
          </w:p>
        </w:tc>
        <w:tc>
          <w:tcPr>
            <w:tcW w:w="3920" w:type="dxa"/>
          </w:tcPr>
          <w:p w:rsidR="00346117" w:rsidRPr="00A50E76" w:rsidRDefault="00346117" w:rsidP="008E51A9">
            <w:pPr>
              <w:spacing w:after="100" w:afterAutospacing="1"/>
              <w:contextualSpacing/>
              <w:jc w:val="center"/>
            </w:pPr>
            <w:r w:rsidRPr="00A50E76">
              <w:t>6</w:t>
            </w:r>
          </w:p>
        </w:tc>
      </w:tr>
      <w:tr w:rsidR="00A50E76" w:rsidRPr="00A50E76" w:rsidTr="00BC400D">
        <w:trPr>
          <w:trHeight w:val="614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 w:val="restart"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  <w:r w:rsidRPr="00A50E76">
              <w:t>ООО «Экология-Новосибирск»</w:t>
            </w:r>
          </w:p>
        </w:tc>
        <w:tc>
          <w:tcPr>
            <w:tcW w:w="1948" w:type="dxa"/>
            <w:vMerge w:val="restart"/>
          </w:tcPr>
          <w:p w:rsidR="00BC5C83" w:rsidRPr="00A50E76" w:rsidRDefault="00BC5C83" w:rsidP="00007335">
            <w:pPr>
              <w:spacing w:after="100" w:afterAutospacing="1"/>
              <w:contextualSpacing/>
              <w:jc w:val="center"/>
            </w:pPr>
            <w:r w:rsidRPr="00A50E76">
              <w:t>Исх. № 01/01/22-86 от 02.01.2022</w:t>
            </w: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Раздел 12.5, Чановский район, стр. 55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В переходный период до строительства и ввода в эксплуатацию ПВН действует схема, при которой все ТКО, образующиеся на территории Чановского района, транспортируются на ОРО, расположенный в Татарском районе вблизи г. Татарск.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При невозможности транспортирования отходов на ОРО, находящийся вблизи г. Татарска, отходы от всего района транспортируются на ОРО вблизи р.п. Чистоозерное Чистоозерного района.</w:t>
            </w:r>
          </w:p>
        </w:tc>
        <w:tc>
          <w:tcPr>
            <w:tcW w:w="3920" w:type="dxa"/>
          </w:tcPr>
          <w:p w:rsidR="00BC5C83" w:rsidRPr="00A50E76" w:rsidRDefault="00BC5C83" w:rsidP="009A28D8">
            <w:pPr>
              <w:spacing w:after="100" w:afterAutospacing="1"/>
              <w:contextualSpacing/>
              <w:jc w:val="both"/>
            </w:pPr>
            <w:r w:rsidRPr="00A50E76">
              <w:t>НЕ УЧТЕНО.</w:t>
            </w:r>
          </w:p>
          <w:p w:rsidR="00BC5C83" w:rsidRPr="00A50E76" w:rsidRDefault="00BC5C83" w:rsidP="00B06E54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 xml:space="preserve">Раздел 12.5, </w:t>
            </w:r>
          </w:p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Здвинский район,</w:t>
            </w:r>
          </w:p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стр. 63</w:t>
            </w:r>
          </w:p>
        </w:tc>
        <w:tc>
          <w:tcPr>
            <w:tcW w:w="4851" w:type="dxa"/>
          </w:tcPr>
          <w:p w:rsidR="00BC5C83" w:rsidRPr="00A50E76" w:rsidRDefault="00BC5C83" w:rsidP="00C31BFE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При невозможности транспортирования отходов на ОРО, находящийся вблизи г. Куйбышева Куйбышевского района, отходы от всего района транспортируются на ОРО, находящийся вблизи с. Колыбелька Краснозерского района, в том числе с использованием ПВН вблизи с. Убинское Убинского района. </w:t>
            </w:r>
          </w:p>
          <w:p w:rsidR="00BC5C83" w:rsidRPr="00A50E76" w:rsidRDefault="00BC5C83" w:rsidP="0052584A">
            <w:pPr>
              <w:spacing w:after="100" w:afterAutospacing="1" w:line="264" w:lineRule="auto"/>
              <w:contextualSpacing/>
              <w:jc w:val="both"/>
            </w:pPr>
            <w:r w:rsidRPr="00A50E76">
              <w:lastRenderedPageBreak/>
              <w:t>(*</w:t>
            </w:r>
            <w:proofErr w:type="gramStart"/>
            <w:r w:rsidRPr="00A50E76">
              <w:t>В</w:t>
            </w:r>
            <w:proofErr w:type="gramEnd"/>
            <w:r w:rsidRPr="00A50E76">
              <w:t xml:space="preserve"> переходный период указан ОРО вблизи г. Карасук, в комбинированной – ОРО вблизи с. Колыбелька Краснозерского района. Необходимо привести к единообразию.)</w:t>
            </w:r>
          </w:p>
        </w:tc>
        <w:tc>
          <w:tcPr>
            <w:tcW w:w="3920" w:type="dxa"/>
          </w:tcPr>
          <w:p w:rsidR="00873F2E" w:rsidRPr="00A50E76" w:rsidRDefault="00873F2E" w:rsidP="00873F2E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УЧТЕНО.</w:t>
            </w:r>
          </w:p>
          <w:p w:rsidR="00BC5C83" w:rsidRPr="00A50E76" w:rsidRDefault="00873F2E" w:rsidP="00873F2E">
            <w:pPr>
              <w:spacing w:after="100" w:afterAutospacing="1"/>
              <w:contextualSpacing/>
              <w:jc w:val="both"/>
            </w:pPr>
            <w:r w:rsidRPr="00A50E76">
              <w:t>Данное предложение противоречит учтенному ранее предложению, направленному ООО «Экология-Новосибирск» письмом о</w:t>
            </w:r>
            <w:r w:rsidR="009F47EB" w:rsidRPr="00A50E76">
              <w:t>т 25.11.2021 №</w:t>
            </w:r>
            <w:r w:rsidR="009F47EB" w:rsidRPr="00A50E76">
              <w:rPr>
                <w:lang w:val="en-US"/>
              </w:rPr>
              <w:t> </w:t>
            </w:r>
            <w:r w:rsidRPr="00A50E76">
              <w:t>01/01/21-17741) в рамках общественных обсуждений корректировки проекта территориальной схемы.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Раздел 12.5, Баганский район,</w:t>
            </w:r>
          </w:p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стр. 64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В переходный период до строительства и ввода в эксплуатацию ПВН действует схема, при которой все ТКО, образующиеся на территории Баганского района, транспортируются на полигон ТБО, расположенный в Карасукском районе вблизи г. Карасук.</w:t>
            </w:r>
          </w:p>
        </w:tc>
        <w:tc>
          <w:tcPr>
            <w:tcW w:w="3920" w:type="dxa"/>
          </w:tcPr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НЕ УЧТЕНО.</w:t>
            </w:r>
          </w:p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Раздел 12.5, Купинский район,</w:t>
            </w:r>
          </w:p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стр. 65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В переходный период до строительства и ввода в эксплуатацию ПВН действует схема, при которой все ТКО, образующиеся на территории Купинского района, транспортируются на полигон ТБО, расположенный в Чистоозерном районе вблизи р.п. Чистоозерное.</w:t>
            </w:r>
          </w:p>
        </w:tc>
        <w:tc>
          <w:tcPr>
            <w:tcW w:w="3920" w:type="dxa"/>
          </w:tcPr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НЕ УЧТЕНО.</w:t>
            </w:r>
          </w:p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  <w:p w:rsidR="00BC5C83" w:rsidRPr="00A50E76" w:rsidRDefault="00BC5C83" w:rsidP="009A28D8">
            <w:pPr>
              <w:spacing w:after="100" w:afterAutospacing="1"/>
              <w:ind w:left="29"/>
              <w:contextualSpacing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 xml:space="preserve">Раздел 12.5, Доволенский район, </w:t>
            </w:r>
          </w:p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стр. 70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widowControl w:val="0"/>
              <w:jc w:val="both"/>
              <w:rPr>
                <w:lang w:eastAsia="ru-RU"/>
              </w:rPr>
            </w:pPr>
            <w:r w:rsidRPr="00A50E76">
              <w:rPr>
                <w:lang w:eastAsia="ru-RU"/>
              </w:rPr>
              <w:t xml:space="preserve">В переходный период до строительства и ввода в эксплуатацию ПВН действует схема, при которой ТКО, образующиеся на территории Доволенского района, транспортируются на полигон ТБО, </w:t>
            </w:r>
            <w:r w:rsidRPr="00A50E76">
              <w:rPr>
                <w:lang w:eastAsia="ru-RU"/>
              </w:rPr>
              <w:lastRenderedPageBreak/>
              <w:t>расположенный в Краснозерском районе вблизи с. Колыбелька.</w:t>
            </w:r>
          </w:p>
          <w:p w:rsidR="00BC5C83" w:rsidRPr="00A50E76" w:rsidRDefault="00BC5C83" w:rsidP="009A28D8">
            <w:pPr>
              <w:widowControl w:val="0"/>
              <w:jc w:val="both"/>
            </w:pPr>
            <w:r w:rsidRPr="00A50E76">
              <w:rPr>
                <w:lang w:eastAsia="ru-RU"/>
              </w:rPr>
              <w:t>При невозможности транспортирования отходов на ОРО, расположенный в Краснозерском районе вблизи с. Колыбелька, отходы от всего района транспортируются на ОРО, находящийся вблизи г. Каргат Каргатского района, а также на ПВН вблизи с. Кочки Кочковского района.</w:t>
            </w:r>
          </w:p>
        </w:tc>
        <w:tc>
          <w:tcPr>
            <w:tcW w:w="3920" w:type="dxa"/>
          </w:tcPr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УЧТЕНО.</w:t>
            </w:r>
          </w:p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304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kern w:val="32"/>
                <w:lang w:eastAsia="ru-RU"/>
              </w:rPr>
            </w:pPr>
            <w:r w:rsidRPr="00A50E76">
              <w:t xml:space="preserve">Раздел 12.5, </w:t>
            </w:r>
            <w:r w:rsidRPr="00A50E76">
              <w:rPr>
                <w:kern w:val="32"/>
                <w:lang w:eastAsia="ru-RU"/>
              </w:rPr>
              <w:t>Чулымский район</w:t>
            </w:r>
          </w:p>
          <w:p w:rsidR="00BC5C83" w:rsidRPr="00A50E76" w:rsidRDefault="00BC5C83" w:rsidP="009A28D8">
            <w:pPr>
              <w:widowControl w:val="0"/>
              <w:ind w:right="-2"/>
              <w:rPr>
                <w:rFonts w:eastAsiaTheme="majorEastAsia"/>
                <w:lang w:eastAsia="ru-RU"/>
              </w:rPr>
            </w:pPr>
            <w:r w:rsidRPr="00A50E76">
              <w:rPr>
                <w:rFonts w:eastAsiaTheme="majorEastAsia"/>
                <w:lang w:eastAsia="ru-RU"/>
              </w:rPr>
              <w:t>стр. 75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widowControl w:val="0"/>
              <w:jc w:val="both"/>
              <w:rPr>
                <w:lang w:eastAsia="ru-RU"/>
              </w:rPr>
            </w:pPr>
            <w:r w:rsidRPr="00A50E76">
              <w:rPr>
                <w:lang w:eastAsia="ru-RU"/>
              </w:rPr>
              <w:t>В переходный период до строительства и ввода в эксплуатацию ПВН действует схема, при которой ТКО, образующиеся на территории Чулымского района, транспортируются на ОРО, расположенный вблизи г. Каргата, в том числе с использованием ПВН с. Убинское Убинского района.</w:t>
            </w:r>
          </w:p>
          <w:p w:rsidR="00BC5C83" w:rsidRPr="00A50E76" w:rsidRDefault="00BC5C83" w:rsidP="009A28D8">
            <w:pPr>
              <w:widowControl w:val="0"/>
              <w:jc w:val="both"/>
              <w:rPr>
                <w:lang w:eastAsia="ru-RU"/>
              </w:rPr>
            </w:pPr>
            <w:r w:rsidRPr="00A50E76">
              <w:rPr>
                <w:lang w:eastAsia="ru-RU"/>
              </w:rPr>
              <w:t>При невозможности транспортирования отходов на ОРО, расположенный в Каргатском районе вблизи г. Каргат, отходы от всего района транспортируются на ОРО, расположенный вблизи с. Прокудское Коченевского района, в том числе с использованием ПВН с. Убинское Убинского района.</w:t>
            </w:r>
          </w:p>
        </w:tc>
        <w:tc>
          <w:tcPr>
            <w:tcW w:w="3920" w:type="dxa"/>
          </w:tcPr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НЕ УЧТЕНО.</w:t>
            </w:r>
          </w:p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  <w:p w:rsidR="00BC5C83" w:rsidRPr="00A50E76" w:rsidRDefault="00BC5C83" w:rsidP="009A28D8">
            <w:pPr>
              <w:spacing w:after="100" w:afterAutospacing="1"/>
              <w:ind w:left="29"/>
              <w:contextualSpacing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t xml:space="preserve">Раздел 12.5, </w:t>
            </w:r>
            <w:r w:rsidRPr="00A50E76">
              <w:rPr>
                <w:lang w:eastAsia="ru-RU"/>
              </w:rPr>
              <w:t>Сузунский район</w:t>
            </w:r>
          </w:p>
          <w:p w:rsidR="00BC5C83" w:rsidRPr="00A50E76" w:rsidRDefault="00BC5C83" w:rsidP="009A28D8">
            <w:pPr>
              <w:widowControl w:val="0"/>
              <w:ind w:right="-2"/>
              <w:rPr>
                <w:kern w:val="32"/>
                <w:lang w:eastAsia="ru-RU"/>
              </w:rPr>
            </w:pPr>
            <w:r w:rsidRPr="00A50E76">
              <w:rPr>
                <w:lang w:eastAsia="ru-RU"/>
              </w:rPr>
              <w:t>стр. 78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В переходный период до строительства и ввода в эксплуатацию ПВН действует схема, при которой ТКО, образующиеся на территории Сузунского района, транспортируются на полигон ТБО, расположенный вблизи г. Черепаново.</w:t>
            </w:r>
          </w:p>
        </w:tc>
        <w:tc>
          <w:tcPr>
            <w:tcW w:w="3920" w:type="dxa"/>
          </w:tcPr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НЕ УЧТЕНО.</w:t>
            </w:r>
          </w:p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614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t xml:space="preserve">Раздел 12.5, </w:t>
            </w:r>
            <w:r w:rsidRPr="00A50E76">
              <w:rPr>
                <w:lang w:eastAsia="ru-RU"/>
              </w:rPr>
              <w:t>Маслянинский район</w:t>
            </w:r>
          </w:p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rPr>
                <w:lang w:eastAsia="ru-RU"/>
              </w:rPr>
              <w:t>стр. 79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В переходный период до строительства и ввода в эксплуатацию ПВН действует схема, при которой ТКО, образующиеся на территории Маслянинского района, транспортируются на полигон ТБО, расположенный вблизи г. Черепаново.</w:t>
            </w:r>
          </w:p>
        </w:tc>
        <w:tc>
          <w:tcPr>
            <w:tcW w:w="3920" w:type="dxa"/>
          </w:tcPr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НЕ УЧТЕНО.</w:t>
            </w:r>
          </w:p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t>Раздел 12.5, Т</w:t>
            </w:r>
            <w:r w:rsidRPr="00A50E76">
              <w:rPr>
                <w:lang w:eastAsia="ru-RU"/>
              </w:rPr>
              <w:t>огучинский район</w:t>
            </w:r>
          </w:p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rPr>
                <w:lang w:eastAsia="ru-RU"/>
              </w:rPr>
              <w:t>стр. 81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Тогучинский район не входит в состав какого-либо кластера, имеет на своей территории внутрирайонный полигон вблизи р.п. Горный. Отходы, образующиеся во всех населенных пунктах Тогучинского района за исключением отходов, образующихся с территории Репьевского сельсовета, транспортируются на полигон вблизи р.п. Горный. Отходы, образующиеся на территории Репьевского сельсовета, </w:t>
            </w:r>
            <w:r w:rsidRPr="00A50E76">
              <w:lastRenderedPageBreak/>
              <w:t>транспортируются на полигон «Гусинобродский» возле г. Новосибирск.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При невозможности транспортирования отходов на ОРО, расположенный в Тогучинском районе вблизи р.п. Горный, отходы от р.п. Горный и близлежащих населенных пунктов транспортируются на полигон «Гусинобродский» г. Новосибирск. Отходы от г. Тогучин и близлежащих населенных пунктов транспортируются на полигон, расположенного вблизи г. Болотное.</w:t>
            </w:r>
          </w:p>
        </w:tc>
        <w:tc>
          <w:tcPr>
            <w:tcW w:w="3920" w:type="dxa"/>
          </w:tcPr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УЧТЕНО.</w:t>
            </w:r>
          </w:p>
          <w:p w:rsidR="00BC5C83" w:rsidRPr="00A50E76" w:rsidRDefault="00BC5C83" w:rsidP="00A17E59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  <w:p w:rsidR="00BC5C83" w:rsidRPr="00A50E76" w:rsidRDefault="00BC5C83" w:rsidP="00ED2032">
            <w:pPr>
              <w:spacing w:after="100" w:afterAutospacing="1"/>
              <w:contextualSpacing/>
              <w:jc w:val="both"/>
            </w:pPr>
            <w:r w:rsidRPr="00A50E76">
              <w:t>Предложения об изменении о направления потоков отходов, образующихся на территории г. Тогучин и близлежащих населенных пунктов, на полигон вблизи г. Болотное, МЖКХиЭ НСО признано нецелесообразным.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t xml:space="preserve">Раздел 12.5, </w:t>
            </w:r>
            <w:r w:rsidRPr="00A50E76">
              <w:rPr>
                <w:lang w:eastAsia="ru-RU"/>
              </w:rPr>
              <w:t xml:space="preserve">Мошковский район </w:t>
            </w:r>
          </w:p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rPr>
                <w:lang w:eastAsia="ru-RU"/>
              </w:rPr>
              <w:t>стр. 86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widowControl w:val="0"/>
              <w:tabs>
                <w:tab w:val="left" w:pos="1134"/>
              </w:tabs>
              <w:ind w:right="-1"/>
              <w:jc w:val="both"/>
              <w:rPr>
                <w:lang w:eastAsia="ru-RU"/>
              </w:rPr>
            </w:pPr>
            <w:r w:rsidRPr="00A50E76">
              <w:rPr>
                <w:lang w:eastAsia="ru-RU"/>
              </w:rPr>
              <w:t>ТКО, образующиеся на территории Балтинского и Широкоярского сельсоветов, р.п. Станционно-Ояшинский Мошковского района, транспортируются на ОРО, расположенный в Болотнинском районе вблизи г. Болотное;</w:t>
            </w:r>
          </w:p>
          <w:p w:rsidR="00BC5C83" w:rsidRPr="00A50E76" w:rsidRDefault="00BC5C83" w:rsidP="009A28D8">
            <w:pPr>
              <w:widowControl w:val="0"/>
              <w:tabs>
                <w:tab w:val="left" w:pos="1134"/>
              </w:tabs>
              <w:jc w:val="both"/>
              <w:rPr>
                <w:lang w:eastAsia="ru-RU"/>
              </w:rPr>
            </w:pPr>
            <w:r w:rsidRPr="00A50E76">
              <w:rPr>
                <w:lang w:eastAsia="ru-RU"/>
              </w:rPr>
              <w:t>ТКО, образующиеся на территории Мошковского района (кроме Балтинского и Широкоярского сельсоветов, р.п. Станционно-Ояшинский), транспортируются на полигон «Гусинобродский» возле г. Новосибирска.</w:t>
            </w:r>
          </w:p>
        </w:tc>
        <w:tc>
          <w:tcPr>
            <w:tcW w:w="3920" w:type="dxa"/>
          </w:tcPr>
          <w:p w:rsidR="00BC5C83" w:rsidRPr="00A50E76" w:rsidRDefault="00BC5C83" w:rsidP="00650B85">
            <w:pPr>
              <w:spacing w:after="100" w:afterAutospacing="1"/>
              <w:contextualSpacing/>
              <w:jc w:val="both"/>
            </w:pPr>
            <w:r w:rsidRPr="00A50E76">
              <w:t>НЕ УЧТЕНО.</w:t>
            </w:r>
          </w:p>
          <w:p w:rsidR="00BC5C83" w:rsidRPr="00A50E76" w:rsidRDefault="00BC5C83" w:rsidP="00650B85">
            <w:pPr>
              <w:spacing w:after="100" w:afterAutospacing="1"/>
              <w:contextualSpacing/>
              <w:jc w:val="both"/>
            </w:pPr>
            <w:r w:rsidRPr="00A50E76">
              <w:t>Указанный земельный участок фактически используется региональным оператором для временного накопления отходов.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t>Раздел 12.5, т</w:t>
            </w:r>
            <w:r w:rsidRPr="00A50E76">
              <w:rPr>
                <w:lang w:eastAsia="ru-RU"/>
              </w:rPr>
              <w:t>ранспортирование ТКО в городских округах</w:t>
            </w:r>
          </w:p>
          <w:p w:rsidR="00BC5C83" w:rsidRPr="00A50E76" w:rsidRDefault="00BC5C83" w:rsidP="009A28D8">
            <w:pPr>
              <w:widowControl w:val="0"/>
              <w:ind w:right="-2"/>
              <w:rPr>
                <w:lang w:eastAsia="ru-RU"/>
              </w:rPr>
            </w:pPr>
            <w:r w:rsidRPr="00A50E76">
              <w:rPr>
                <w:lang w:eastAsia="ru-RU"/>
              </w:rPr>
              <w:t>стр. 91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6C2B0D">
            <w:pPr>
              <w:spacing w:after="100" w:afterAutospacing="1" w:line="264" w:lineRule="auto"/>
              <w:contextualSpacing/>
              <w:jc w:val="both"/>
            </w:pPr>
            <w:r w:rsidRPr="00A50E76">
              <w:t>В переходный период до строительства и ввода в эксплуатацию правобережного и левобережного концессионных объектов действует схема, при которой ТКО, образующиеся на территории г. Новосибирска, г. Бердска, г. Оби, р.п. Кольцово, транспортируются в зависимости от конфигурации маршрута на ОРО, находящиеся вблизи г. Новосибирска:</w:t>
            </w:r>
          </w:p>
          <w:p w:rsidR="00BC5C83" w:rsidRPr="00A50E76" w:rsidRDefault="00BC5C83" w:rsidP="006C2B0D">
            <w:pPr>
              <w:spacing w:after="100" w:afterAutospacing="1" w:line="264" w:lineRule="auto"/>
              <w:contextualSpacing/>
              <w:jc w:val="both"/>
            </w:pPr>
            <w:r w:rsidRPr="00A50E76">
              <w:t>- полигон «</w:t>
            </w:r>
            <w:proofErr w:type="spellStart"/>
            <w:r w:rsidRPr="00A50E76">
              <w:t>Гусинобродский</w:t>
            </w:r>
            <w:proofErr w:type="spellEnd"/>
            <w:r w:rsidRPr="00A50E76">
              <w:t xml:space="preserve">» (Дзержинский, Железнодорожный, </w:t>
            </w:r>
            <w:proofErr w:type="spellStart"/>
            <w:r w:rsidRPr="00A50E76">
              <w:t>Заельцовский</w:t>
            </w:r>
            <w:proofErr w:type="spellEnd"/>
            <w:r w:rsidRPr="00A50E76">
              <w:t>, Калининский, Октябрьский, Первомайский и Центральный районы г. Новосибирска, р.п. Кольцово);</w:t>
            </w:r>
          </w:p>
          <w:p w:rsidR="00BC5C83" w:rsidRPr="00A50E76" w:rsidRDefault="00BC5C83" w:rsidP="006C2B0D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- полигон «Левобережный» (Кировский и Ленинский районы г. Новосибирска, г. Обь, р.п. </w:t>
            </w:r>
            <w:proofErr w:type="spellStart"/>
            <w:r w:rsidRPr="00A50E76">
              <w:t>Краснообск</w:t>
            </w:r>
            <w:proofErr w:type="spellEnd"/>
            <w:r w:rsidRPr="00A50E76">
              <w:t>, левый берег Советского района г. Новосибирска);</w:t>
            </w:r>
          </w:p>
          <w:p w:rsidR="00BC5C83" w:rsidRPr="00A50E76" w:rsidRDefault="00BC5C83" w:rsidP="006C2B0D">
            <w:pPr>
              <w:spacing w:after="100" w:afterAutospacing="1" w:line="264" w:lineRule="auto"/>
              <w:contextualSpacing/>
              <w:jc w:val="both"/>
            </w:pPr>
            <w:r w:rsidRPr="00A50E76">
              <w:t>- полигон вблизи г. Бердска (правый берег Советский район г. Новосибирска, г. Бердск).</w:t>
            </w:r>
          </w:p>
        </w:tc>
        <w:tc>
          <w:tcPr>
            <w:tcW w:w="3920" w:type="dxa"/>
          </w:tcPr>
          <w:p w:rsidR="00705505" w:rsidRPr="00A50E76" w:rsidRDefault="00705505" w:rsidP="009A28D8">
            <w:pPr>
              <w:spacing w:after="100" w:afterAutospacing="1"/>
              <w:contextualSpacing/>
              <w:jc w:val="both"/>
            </w:pPr>
            <w:r w:rsidRPr="00A50E76">
              <w:t xml:space="preserve">УЧТЕНО </w:t>
            </w:r>
            <w:r w:rsidR="002A65F4" w:rsidRPr="00A50E76">
              <w:t>ЧАСТИЧНО</w:t>
            </w:r>
          </w:p>
          <w:p w:rsidR="00480E7B" w:rsidRPr="00A50E76" w:rsidRDefault="002A65F4" w:rsidP="00705505">
            <w:pPr>
              <w:spacing w:after="100" w:afterAutospacing="1"/>
              <w:contextualSpacing/>
              <w:jc w:val="both"/>
            </w:pPr>
            <w:r w:rsidRPr="00A50E76">
              <w:t>Не учтено в</w:t>
            </w:r>
            <w:r w:rsidR="00705505" w:rsidRPr="00A50E76">
              <w:t xml:space="preserve"> отношении р.п. </w:t>
            </w:r>
            <w:proofErr w:type="spellStart"/>
            <w:r w:rsidR="00705505" w:rsidRPr="00A50E76">
              <w:t>Краснообск</w:t>
            </w:r>
            <w:proofErr w:type="spellEnd"/>
            <w:r w:rsidR="00705505" w:rsidRPr="00A50E76">
              <w:t xml:space="preserve"> Новосибирского района информация размещена в разделе 12.5 на стр. 90 проекта территориальной схемы.</w:t>
            </w:r>
          </w:p>
          <w:p w:rsidR="00BC5C83" w:rsidRPr="00A50E76" w:rsidRDefault="00480E7B" w:rsidP="00705505">
            <w:pPr>
              <w:spacing w:after="100" w:afterAutospacing="1"/>
              <w:contextualSpacing/>
              <w:jc w:val="both"/>
            </w:pPr>
            <w:r w:rsidRPr="00A50E76">
              <w:t xml:space="preserve">Р.п. </w:t>
            </w:r>
            <w:proofErr w:type="spellStart"/>
            <w:r w:rsidRPr="00A50E76">
              <w:t>Краснообск</w:t>
            </w:r>
            <w:proofErr w:type="spellEnd"/>
            <w:r w:rsidRPr="00A50E76">
              <w:t xml:space="preserve"> не является городским округом.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rPr>
                <w:lang w:eastAsia="ru-RU"/>
              </w:rPr>
            </w:pPr>
            <w:r w:rsidRPr="00A50E76">
              <w:rPr>
                <w:lang w:eastAsia="ru-RU"/>
              </w:rPr>
              <w:t>Раздел 13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rPr>
                <w:lang w:eastAsia="ru-RU"/>
              </w:rPr>
              <w:t xml:space="preserve">Отсутствует информация о местоположении (кадастровый номер земельного участка, координаты) </w:t>
            </w:r>
            <w:r w:rsidRPr="00A50E76">
              <w:t xml:space="preserve">планируемого строительства, реконструкции объектов обработки, </w:t>
            </w:r>
            <w:r w:rsidRPr="00A50E76">
              <w:lastRenderedPageBreak/>
              <w:t>утилизации, обезвреживания, размещения отходов</w:t>
            </w:r>
            <w:r w:rsidRPr="00A50E76">
              <w:rPr>
                <w:lang w:eastAsia="ru-RU"/>
              </w:rPr>
              <w:t>.</w:t>
            </w:r>
          </w:p>
        </w:tc>
        <w:tc>
          <w:tcPr>
            <w:tcW w:w="3920" w:type="dxa"/>
          </w:tcPr>
          <w:p w:rsidR="00BC5C83" w:rsidRPr="00A50E76" w:rsidRDefault="00BC5C83" w:rsidP="00C27DA7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</w:t>
            </w:r>
          </w:p>
          <w:p w:rsidR="00BC5C83" w:rsidRPr="00A50E76" w:rsidRDefault="00BC5C83" w:rsidP="00C27DA7">
            <w:r w:rsidRPr="00A50E76">
              <w:t xml:space="preserve">Не предусмотрено постановлением Правительства РФ от 22.09.2018 № 1130 «О разработке, общественном обсуждении, </w:t>
            </w:r>
            <w:r w:rsidRPr="00A50E76">
              <w:lastRenderedPageBreak/>
              <w:t>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rPr>
                <w:lang w:eastAsia="ru-RU"/>
              </w:rPr>
            </w:pPr>
            <w:r w:rsidRPr="00A50E76">
              <w:rPr>
                <w:lang w:eastAsia="ru-RU"/>
              </w:rPr>
              <w:t>Раздел 13.4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contextualSpacing/>
              <w:jc w:val="both"/>
            </w:pPr>
            <w:r w:rsidRPr="00A50E76">
              <w:t xml:space="preserve">Согласно схеме, мусоровозу при въезде на ПВН необходимо осуществить разворот и подъехать к бетонному бордюру задним ходом для разгрузки в зоне работы погрузчика. Таким образом, схема предусматривает постоянное нахождение фронтального погрузчика на ПВН для сдвигания и буртования отходов в четыре бокса под навес, т.к. не предполагает нахождение мусоровоза в зоне боксов для разгрузки. </w:t>
            </w:r>
          </w:p>
          <w:p w:rsidR="00BC5C83" w:rsidRPr="00A50E76" w:rsidRDefault="00BC5C83" w:rsidP="009A28D8">
            <w:pPr>
              <w:contextualSpacing/>
              <w:jc w:val="both"/>
            </w:pPr>
            <w:r w:rsidRPr="00A50E76">
              <w:t>При этом в процессе выгрузки отходов за мусоровозом образуется бурт из отходов длиной 2-4 м, размещение которого произойдет уже в разворотной зоне (№1).</w:t>
            </w:r>
          </w:p>
          <w:p w:rsidR="00BC5C83" w:rsidRPr="00A50E76" w:rsidRDefault="00BC5C83" w:rsidP="009A28D8">
            <w:pPr>
              <w:contextualSpacing/>
              <w:jc w:val="both"/>
            </w:pPr>
            <w:r w:rsidRPr="00A50E76">
              <w:t xml:space="preserve">Размер разворотной зоны существующих ПВН не позволяет самосвалам с прицепом осуществлять маневры. При вывозе ТКО мусоровозами с помощью бункера на 8 куб. м, также создает дополнительные затруднения в части установки бункера в </w:t>
            </w:r>
            <w:r w:rsidRPr="00A50E76">
              <w:lastRenderedPageBreak/>
              <w:t>зоне работы погрузчика на границе с зоной разворота, захвата груженного бункера мусоровозным оборудованием, подбор просыпавшихся отходов.</w:t>
            </w:r>
          </w:p>
          <w:p w:rsidR="00BC5C83" w:rsidRPr="00A50E76" w:rsidRDefault="00BC5C83" w:rsidP="009A28D8">
            <w:pPr>
              <w:contextualSpacing/>
              <w:jc w:val="both"/>
            </w:pPr>
            <w:r w:rsidRPr="00A50E76">
              <w:t xml:space="preserve">Погрузчик должен осуществлять работы по уборке отходов и снега во всех зонах ПВН, при наличии бордюра сбор и сдвигание снега затруднен с территории парковки, зоны под КГО и разворотной зоны (№1) в сторону зоны № 9. </w:t>
            </w:r>
          </w:p>
          <w:p w:rsidR="00BC5C83" w:rsidRPr="00A50E76" w:rsidRDefault="00BC5C83" w:rsidP="009A28D8">
            <w:pPr>
              <w:contextualSpacing/>
              <w:jc w:val="both"/>
            </w:pPr>
            <w:r w:rsidRPr="00A50E76">
              <w:t xml:space="preserve">В целях оптимизации затрат на эксплуатацию ПВН </w:t>
            </w:r>
            <w:r w:rsidRPr="00A50E76">
              <w:rPr>
                <w:b/>
              </w:rPr>
              <w:t>мусоровозы должны иметь возможность беспрепятственного подъезда и разгрузки отходов</w:t>
            </w:r>
            <w:r w:rsidRPr="00A50E76">
              <w:t xml:space="preserve"> </w:t>
            </w:r>
            <w:r w:rsidRPr="00A50E76">
              <w:rPr>
                <w:b/>
              </w:rPr>
              <w:t>в боксы</w:t>
            </w:r>
            <w:r w:rsidRPr="00A50E76">
              <w:t xml:space="preserve"> без помощи погрузчика, для чего необходимо ликвидировать бордюр. Такая схема актуальна как для уже трех введенных в эксплуатацию ПВН, так и для строящихся.</w:t>
            </w:r>
          </w:p>
          <w:p w:rsidR="00BC5C83" w:rsidRPr="00A50E76" w:rsidRDefault="00BC5C83" w:rsidP="009A28D8">
            <w:pPr>
              <w:tabs>
                <w:tab w:val="left" w:pos="993"/>
                <w:tab w:val="left" w:pos="1134"/>
              </w:tabs>
              <w:jc w:val="both"/>
              <w:rPr>
                <w:lang w:eastAsia="ru-RU"/>
              </w:rPr>
            </w:pPr>
            <w:r w:rsidRPr="00A50E76">
              <w:rPr>
                <w:lang w:eastAsia="ru-RU"/>
              </w:rPr>
              <w:t>В экспликации зон и сооружений ПВН не отображена общая площадь ПВН и ее зон.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 xml:space="preserve">Территориальная схема предполагает на ПВН осуществление деятельности по обработке отходов, в связи с чем ПВН должна иметь следующие зоны и оборудование: </w:t>
            </w:r>
          </w:p>
          <w:p w:rsidR="00BC5C83" w:rsidRPr="00A50E76" w:rsidRDefault="00BC5C83" w:rsidP="009A28D8">
            <w:pPr>
              <w:contextualSpacing/>
              <w:jc w:val="both"/>
            </w:pPr>
            <w:r w:rsidRPr="00A50E76">
              <w:t xml:space="preserve">- площадка (под навесом) для установки оборудования для сортировки и обработки ТКО; </w:t>
            </w:r>
          </w:p>
          <w:p w:rsidR="00BC5C83" w:rsidRPr="00A50E76" w:rsidRDefault="00BC5C83" w:rsidP="009A28D8">
            <w:pPr>
              <w:contextualSpacing/>
              <w:jc w:val="both"/>
            </w:pPr>
            <w:r w:rsidRPr="00A50E76">
              <w:lastRenderedPageBreak/>
              <w:t xml:space="preserve">- зона для складирования готовой продукции (ВМР); 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 xml:space="preserve">- рамка (прибор) радиометрического контроля; 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>- система весового контроля, автоматизированная системой учета и передачи в государственную информационную систему учета ТКО.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>- система фотосъемки и (или) видеосъемки для фиксации движения транспортных средств, доставляющих ТКО;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 xml:space="preserve">- установка 3-й категории надежности электроснабжения при условии наличия резервных источников энергоснабжения;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rPr>
                <w:rFonts w:eastAsiaTheme="minorEastAsia"/>
                <w:lang w:eastAsia="ru-RU"/>
              </w:rPr>
              <w:t>- автоматическая система аварийной остановки производственных линий и др.</w:t>
            </w:r>
          </w:p>
        </w:tc>
        <w:tc>
          <w:tcPr>
            <w:tcW w:w="3920" w:type="dxa"/>
          </w:tcPr>
          <w:p w:rsidR="00BC5C83" w:rsidRPr="00A50E76" w:rsidRDefault="00BC5C83" w:rsidP="008A5AEC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</w:t>
            </w:r>
          </w:p>
          <w:p w:rsidR="00BC5C83" w:rsidRPr="00A50E76" w:rsidRDefault="00BC5C83" w:rsidP="008A5AEC">
            <w:pPr>
              <w:spacing w:after="100" w:afterAutospacing="1"/>
              <w:contextualSpacing/>
              <w:jc w:val="both"/>
            </w:pPr>
            <w:r w:rsidRPr="00A50E76">
              <w:t xml:space="preserve">В разделе 13.4 «Планируемые технологические решения. ПВН» представлен один из возможных типов ПВН. В случае разработки иных типовых проектов ПВН – они будут отражены при корректировке территориальной схемы. 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kern w:val="32"/>
                <w:lang w:eastAsia="ru-RU"/>
              </w:rPr>
            </w:pPr>
            <w:r w:rsidRPr="00A50E76">
              <w:rPr>
                <w:kern w:val="32"/>
                <w:lang w:eastAsia="ru-RU"/>
              </w:rPr>
              <w:t>Раздел 14</w:t>
            </w:r>
          </w:p>
          <w:p w:rsidR="00BC5C83" w:rsidRPr="00A50E76" w:rsidRDefault="00BC5C83" w:rsidP="009A28D8">
            <w:pPr>
              <w:widowControl w:val="0"/>
              <w:ind w:right="-2"/>
              <w:rPr>
                <w:kern w:val="32"/>
                <w:lang w:eastAsia="ru-RU"/>
              </w:rPr>
            </w:pPr>
            <w:r w:rsidRPr="00A50E76">
              <w:rPr>
                <w:kern w:val="32"/>
                <w:lang w:eastAsia="ru-RU"/>
              </w:rPr>
              <w:t>Стр. 107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Изложить в следующей редакции: </w:t>
            </w:r>
          </w:p>
          <w:p w:rsidR="00BC5C83" w:rsidRPr="00A50E76" w:rsidRDefault="00BC5C83" w:rsidP="009A28D8">
            <w:pPr>
              <w:jc w:val="both"/>
              <w:rPr>
                <w:lang w:eastAsia="ru-RU"/>
              </w:rPr>
            </w:pPr>
            <w:r w:rsidRPr="00A50E76">
              <w:rPr>
                <w:lang w:eastAsia="ru-RU"/>
              </w:rPr>
              <w:t xml:space="preserve">С учетом СП 320.1325800.2017. Свод правил. Полигоны для твердых коммунальных отходов. Проектирование, эксплуатация и рекультивация (утв. и введен в действие приказом Минстроя России от 17.11.2017 № 1555/пр), Постановления Правительства РФ от 12.10.2020 № 1657 «О Единых требованиях к объектам обработки, утилизации, обезвреживания, размещения твердых коммунальных отходов», Правил коммерческого учета объема и (или) массы </w:t>
            </w:r>
            <w:r w:rsidRPr="00A50E76">
              <w:rPr>
                <w:lang w:eastAsia="ru-RU"/>
              </w:rPr>
              <w:lastRenderedPageBreak/>
              <w:t>твердых коммунальных отходов, утвержденных Постановлением Правительства Российской Федерации от 03.06.2016 № 505 «Об утверждении Правил коммерческого учета объема и (или) массы твердых коммунальных отходов», ОРО ТКО должны иметь:</w:t>
            </w:r>
          </w:p>
          <w:p w:rsidR="00BC5C83" w:rsidRPr="00A50E76" w:rsidRDefault="00BC5C83" w:rsidP="009A28D8">
            <w:pPr>
              <w:widowControl w:val="0"/>
              <w:jc w:val="both"/>
              <w:rPr>
                <w:b/>
                <w:lang w:eastAsia="ru-RU"/>
              </w:rPr>
            </w:pPr>
            <w:r w:rsidRPr="00A50E76">
              <w:rPr>
                <w:b/>
                <w:lang w:eastAsia="ru-RU"/>
              </w:rPr>
              <w:t>Дополнить требования к ОРО с учетом осуществления деятельности по обработке ТКО: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>«- автоматизированная линия сортировки, оборудование для обработки отходов. Для объектов обработки ТКО мощностью свыше 150 тыс. тонн в год - не менее 2 линий сортировки (при наличии технологической потребности, определяемой на стадии проектирования);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>- автоматическими системами аварийной остановки производственных линий;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>- систем автоматической диагностики состояния оборудования в целях предупреждения аварийных остановок для объектов обработки ТКО мощностью более 100 тыс. тонн в год;</w:t>
            </w:r>
          </w:p>
          <w:p w:rsidR="00BC5C83" w:rsidRPr="00A50E76" w:rsidRDefault="00BC5C83" w:rsidP="009A28D8">
            <w:pPr>
              <w:contextualSpacing/>
              <w:jc w:val="both"/>
            </w:pPr>
            <w:r w:rsidRPr="00A50E76">
              <w:t xml:space="preserve">- склад для хранения готовой продукции (ВМР); 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 xml:space="preserve">- система весового контроля, автоматизированная системой учета и </w:t>
            </w:r>
            <w:r w:rsidRPr="00A50E76">
              <w:rPr>
                <w:rFonts w:eastAsiaTheme="minorEastAsia"/>
                <w:lang w:eastAsia="ru-RU"/>
              </w:rPr>
              <w:lastRenderedPageBreak/>
              <w:t>передачи в государственную информационную систему учета ТКО.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>- система фотосъемки и (или) видеосъемки для фиксации движения транспортных средств, доставляющих ТКО;</w:t>
            </w:r>
          </w:p>
          <w:p w:rsidR="00BC5C83" w:rsidRPr="00A50E76" w:rsidRDefault="00BC5C83" w:rsidP="009A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A50E76">
              <w:rPr>
                <w:rFonts w:eastAsiaTheme="minorEastAsia"/>
                <w:lang w:eastAsia="ru-RU"/>
              </w:rPr>
              <w:t xml:space="preserve">- установка 3-й категории надежности электроснабжения при условии наличия резервных источников энергоснабжения; 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rPr>
                <w:lang w:eastAsia="ru-RU"/>
              </w:rPr>
              <w:t>- автоматическая система аварийной остановки производственных линий».</w:t>
            </w:r>
          </w:p>
        </w:tc>
        <w:tc>
          <w:tcPr>
            <w:tcW w:w="3920" w:type="dxa"/>
          </w:tcPr>
          <w:p w:rsidR="00BC5C83" w:rsidRPr="00A50E76" w:rsidRDefault="00BC5C83" w:rsidP="009A28D8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</w:t>
            </w:r>
          </w:p>
          <w:p w:rsidR="00BC5C83" w:rsidRPr="00A50E76" w:rsidRDefault="00BC5C83" w:rsidP="008A6F2E">
            <w:pPr>
              <w:spacing w:after="100" w:afterAutospacing="1"/>
              <w:contextualSpacing/>
              <w:jc w:val="both"/>
            </w:pPr>
            <w:r w:rsidRPr="00A50E76">
              <w:rPr>
                <w:lang w:eastAsia="ru-RU"/>
              </w:rPr>
              <w:t>Ссылка на постановление Правительства РФ от 12.10.2020 № 1657 «О Единых требованиях к объектам обработки, утилизации, обезвреживания, размещения твердых коммунальных отходов» указана в разделе 1.Нормативные документы проекта территориальной схемы.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widowControl w:val="0"/>
              <w:ind w:right="-2"/>
              <w:rPr>
                <w:kern w:val="32"/>
                <w:lang w:eastAsia="ru-RU"/>
              </w:rPr>
            </w:pPr>
            <w:r w:rsidRPr="00A50E76">
              <w:rPr>
                <w:kern w:val="32"/>
                <w:lang w:eastAsia="ru-RU"/>
              </w:rPr>
              <w:t>Приложение 4.3, (4.4)</w:t>
            </w:r>
          </w:p>
        </w:tc>
        <w:tc>
          <w:tcPr>
            <w:tcW w:w="4851" w:type="dxa"/>
          </w:tcPr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Данные о фактическом количестве отходов, принимаемых для размещения в период с 01.01.2019, в год в столбце 11 не соответствуют действительности, необходимо более подробно проработать указанные данные.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proofErr w:type="gramStart"/>
            <w:r w:rsidRPr="00A50E76">
              <w:t>Например</w:t>
            </w:r>
            <w:proofErr w:type="gramEnd"/>
            <w:r w:rsidRPr="00A50E76">
              <w:t>: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ОРО г. Бердск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2019 г. -38 024,20 т.; 2020 г- 32 952,26 т.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2021 г. - 45 989,29 т. (за 11 месяцев + декабрь расчетный, 41 671,13+4 318,16)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ИТОГО количество (среднее) принимаемых отходов в год: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38 988,58 т/год (в таблице указано 60 600,02 т/год);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ОРО Карасук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lastRenderedPageBreak/>
              <w:t>Количество размещенных ТКО: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2019</w:t>
            </w:r>
            <w:r w:rsidRPr="00A50E76">
              <w:tab/>
              <w:t xml:space="preserve">г. — 29 797,67 т. (полный объем); 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2020</w:t>
            </w:r>
            <w:r w:rsidRPr="00A50E76">
              <w:tab/>
              <w:t>г. — 39 868,31 т. (полный объем)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2021</w:t>
            </w:r>
            <w:r w:rsidRPr="00A50E76">
              <w:tab/>
              <w:t>г.</w:t>
            </w:r>
            <w:r w:rsidRPr="00A50E76">
              <w:tab/>
              <w:t>12 127,887 т. (за 11 месяцев + декабрь расчетный,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11 371,337+756,55 (весы)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ИТОГО количество (среднее) принимаемых отходов в год: 27 264,62 т/год (в таблице указано 29 261,76;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ОРО Левобережный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2019 г. - 144 965,41 т.; 2020 г. - 224 146,18 т.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2021 г. - 234 842,7 т. (за 11 месяцев + декабрь расчетный, 216 935,28+17 907,42)</w:t>
            </w:r>
          </w:p>
          <w:p w:rsidR="00BC5C83" w:rsidRPr="00A50E76" w:rsidRDefault="00BC5C83" w:rsidP="00F9362E">
            <w:pPr>
              <w:spacing w:after="100" w:afterAutospacing="1" w:line="264" w:lineRule="auto"/>
              <w:contextualSpacing/>
              <w:jc w:val="both"/>
            </w:pPr>
            <w:r w:rsidRPr="00A50E76">
              <w:t>ИТОГО количество (среднее) принимаемых отходов в год: 201 318,097 т/год (в таблице указано 282 638,18).</w:t>
            </w:r>
          </w:p>
        </w:tc>
        <w:tc>
          <w:tcPr>
            <w:tcW w:w="3920" w:type="dxa"/>
          </w:tcPr>
          <w:p w:rsidR="00BC5C83" w:rsidRPr="00A50E76" w:rsidRDefault="00705505" w:rsidP="009A28D8">
            <w:pPr>
              <w:spacing w:after="100" w:afterAutospacing="1"/>
              <w:contextualSpacing/>
              <w:jc w:val="both"/>
            </w:pPr>
            <w:r w:rsidRPr="00A50E76">
              <w:lastRenderedPageBreak/>
              <w:t>УЧТЕНО</w:t>
            </w:r>
            <w:r w:rsidR="0081740F" w:rsidRPr="00A50E76">
              <w:t xml:space="preserve"> ЧАСТИЧНО</w:t>
            </w:r>
          </w:p>
          <w:p w:rsidR="00705505" w:rsidRPr="00A50E76" w:rsidRDefault="00911ADA" w:rsidP="00911ADA">
            <w:pPr>
              <w:spacing w:after="100" w:afterAutospacing="1"/>
              <w:contextualSpacing/>
              <w:jc w:val="both"/>
            </w:pPr>
            <w:r w:rsidRPr="00A50E76">
              <w:t>Данные о фактической</w:t>
            </w:r>
            <w:r w:rsidR="00876083" w:rsidRPr="00A50E76">
              <w:t xml:space="preserve"> среднегодовой</w:t>
            </w:r>
            <w:r w:rsidRPr="00A50E76">
              <w:t xml:space="preserve"> массе захоронения ТКО, указанные в приложениях №</w:t>
            </w:r>
            <w:r w:rsidR="00876083" w:rsidRPr="00A50E76">
              <w:t> </w:t>
            </w:r>
            <w:r w:rsidRPr="00A50E76">
              <w:t>4.3, 4.4, – это среднее значение за 2019, 2020, 9 месяцев 2021 года с учетом данных о массе ТКО, поступивших на ОРО, эксплуатируемы</w:t>
            </w:r>
            <w:r w:rsidR="00876083" w:rsidRPr="00A50E76">
              <w:t>е</w:t>
            </w:r>
            <w:r w:rsidRPr="00A50E76">
              <w:t xml:space="preserve"> в данн</w:t>
            </w:r>
            <w:r w:rsidR="00876083" w:rsidRPr="00A50E76">
              <w:t>ый период, но прекратившие свою деятельность</w:t>
            </w:r>
          </w:p>
          <w:p w:rsidR="0081740F" w:rsidRPr="00A50E76" w:rsidRDefault="0081740F" w:rsidP="0081740F">
            <w:pPr>
              <w:spacing w:after="100" w:afterAutospacing="1"/>
              <w:contextualSpacing/>
              <w:jc w:val="both"/>
            </w:pPr>
            <w:r w:rsidRPr="00A50E76">
              <w:t>В наименование столбцов в приложениях 4.3, 4.4 будут внесены соответствующие изменения.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Раздел 14</w:t>
            </w:r>
          </w:p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 xml:space="preserve">Стр. 101, </w:t>
            </w:r>
          </w:p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таблица 14.1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Добавить данные о местоположении ПВН ТКО в с. Баган, р.п. Маслянино, п. Нечаевский</w:t>
            </w:r>
          </w:p>
        </w:tc>
        <w:tc>
          <w:tcPr>
            <w:tcW w:w="3920" w:type="dxa"/>
          </w:tcPr>
          <w:p w:rsidR="00BC5C83" w:rsidRPr="00A50E76" w:rsidRDefault="00BC5C83" w:rsidP="008A6F2E">
            <w:pPr>
              <w:spacing w:after="100" w:afterAutospacing="1"/>
              <w:contextualSpacing/>
              <w:jc w:val="both"/>
            </w:pPr>
            <w:r w:rsidRPr="00A50E76">
              <w:t>НЕ УЧТЕНО</w:t>
            </w:r>
          </w:p>
          <w:p w:rsidR="00BC5C83" w:rsidRPr="00A50E76" w:rsidRDefault="00BC5C83" w:rsidP="00CF03E9">
            <w:pPr>
              <w:spacing w:after="100" w:afterAutospacing="1"/>
              <w:contextualSpacing/>
              <w:jc w:val="both"/>
            </w:pPr>
            <w:r w:rsidRPr="00A50E76">
              <w:t>Информация об использовании указанных земельных участков отражена в описательной части раздела 12.5 «Потоки ТКО в кластерах и районах».</w:t>
            </w:r>
          </w:p>
        </w:tc>
      </w:tr>
      <w:tr w:rsidR="00A50E76" w:rsidRPr="00A50E76" w:rsidTr="00BC400D">
        <w:trPr>
          <w:trHeight w:val="907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Раздел 7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В проекте Территориальной схемы в октябре 2021 предусматривался объем образования ТКО - 9 748 460,59 </w:t>
            </w:r>
            <w:proofErr w:type="gramStart"/>
            <w:r w:rsidRPr="00A50E76">
              <w:t>куб.м</w:t>
            </w:r>
            <w:proofErr w:type="gramEnd"/>
            <w:r w:rsidRPr="00A50E76">
              <w:t xml:space="preserve"> – 1 207 136,82 тонн (стр. 24 ТС), в т.ч. от населения 6 637 460,63 </w:t>
            </w:r>
            <w:r w:rsidRPr="00A50E76">
              <w:lastRenderedPageBreak/>
              <w:t>куб.м – 821 901,69 тонн (стр. 22 ТС), т.е. плотность ТКО составляла - 0,1238. При этом исходя из приказа департамента по тарифам Новосибирской области от 20.10.2017 № 342-ЖКХ «Об утверждении нормативов накопления твердых коммунальных отходов на территории Новосибирской области» (далее - приказ), на что делается ссылка в ТС при определении объема образования ТКО от населения, плотность ТКО от населения (домовладений) составляет 0,1651 (392,95 кг/год/2,38 м3/год).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В настоящем проекте Территориальной схемы (ноябрь 2021 г.) данное замечание было устранено некорректно – масса ТКО от населения увеличена за счет уменьшения массы ТКО от прочих потребителей. В связи с этим плотность ТКО от прочих потребителей составила 0,0358, что в 4,6 раза ниже плотности ТКО от населения. При этом в сравнении с действующей редакцией Территориальной схемы, утвержденной постановлением Правительства НСО от 24.05.2021 № 180-п, масса ТКО от прочих </w:t>
            </w:r>
            <w:proofErr w:type="spellStart"/>
            <w:r w:rsidRPr="00A50E76">
              <w:t>отходообразователей</w:t>
            </w:r>
            <w:proofErr w:type="spellEnd"/>
            <w:r w:rsidRPr="00A50E76">
              <w:t xml:space="preserve"> уменьшилась в 3,5 раза при неизменном объеме, в то же время </w:t>
            </w:r>
            <w:r w:rsidRPr="00A50E76">
              <w:lastRenderedPageBreak/>
              <w:t xml:space="preserve">изменений в нормативы накопления ТКО по прочим </w:t>
            </w:r>
            <w:proofErr w:type="spellStart"/>
            <w:r w:rsidRPr="00A50E76">
              <w:t>отходообразователям</w:t>
            </w:r>
            <w:proofErr w:type="spellEnd"/>
            <w:r w:rsidRPr="00A50E76">
              <w:t xml:space="preserve"> не производилось.</w:t>
            </w:r>
          </w:p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Таким образом, следует определить корректную массу ТКО в ТС по каждой категории </w:t>
            </w:r>
            <w:proofErr w:type="spellStart"/>
            <w:r w:rsidRPr="00A50E76">
              <w:t>отходообразователей</w:t>
            </w:r>
            <w:proofErr w:type="spellEnd"/>
            <w:r w:rsidRPr="00A50E76">
              <w:t xml:space="preserve"> исходя из приказа либо пересмотреть плотность ТКО по приказу.  </w:t>
            </w:r>
          </w:p>
        </w:tc>
        <w:tc>
          <w:tcPr>
            <w:tcW w:w="3920" w:type="dxa"/>
          </w:tcPr>
          <w:p w:rsidR="00BC5C83" w:rsidRPr="00A50E76" w:rsidRDefault="00BC5C83" w:rsidP="009A28D8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</w:t>
            </w:r>
          </w:p>
          <w:p w:rsidR="00BC5C83" w:rsidRPr="00A50E76" w:rsidRDefault="00BC5C83" w:rsidP="009A28D8">
            <w:pPr>
              <w:spacing w:after="100" w:afterAutospacing="1"/>
              <w:contextualSpacing/>
              <w:jc w:val="both"/>
            </w:pPr>
            <w:r w:rsidRPr="00A50E76">
              <w:t xml:space="preserve">В разделе 7. Количество образующихся отходов приведено количество образующихся отходов исходя из утвержденных </w:t>
            </w:r>
            <w:r w:rsidRPr="00A50E76">
              <w:lastRenderedPageBreak/>
              <w:t>нормативов накопления ТКО с учетом решений протокола рабочего совещания по переходу на новую систему обращения с твердыми коммунальными отходами от 10.09.2020 № 450-03/17-Вн. Кроме того, в проекте территориальной схемы приведены данные о фактической годовой массе захоронения ТКО исходя из данных за 2019, 2020, 9 месяцев 2021 года.</w:t>
            </w:r>
          </w:p>
        </w:tc>
      </w:tr>
      <w:tr w:rsidR="00A50E76" w:rsidRPr="00A50E76" w:rsidTr="00BC400D">
        <w:trPr>
          <w:trHeight w:val="614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Электронная модель ТС, раздел «Потоки отходов»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jc w:val="both"/>
              <w:rPr>
                <w:rFonts w:eastAsia="Calibri"/>
                <w:lang w:eastAsia="ru-RU"/>
              </w:rPr>
            </w:pPr>
            <w:r w:rsidRPr="00A50E76">
              <w:rPr>
                <w:rFonts w:eastAsia="Calibri"/>
                <w:lang w:eastAsia="ru-RU"/>
              </w:rPr>
              <w:t xml:space="preserve">В графической части указаны тарифы на услугу по обращению с ТКО. При этом фактические тарифы за период 2019-2021 гг. не соответствуют предельным тарифам регионального оператора на услугу по обращению с ТКО, установленным органом регулирования на соответствующий период. </w:t>
            </w:r>
          </w:p>
          <w:p w:rsidR="00BC5C83" w:rsidRPr="00A50E76" w:rsidRDefault="00BC5C83" w:rsidP="009A28D8">
            <w:pPr>
              <w:jc w:val="both"/>
              <w:rPr>
                <w:rFonts w:eastAsia="Calibri"/>
                <w:lang w:eastAsia="ru-RU"/>
              </w:rPr>
            </w:pPr>
            <w:r w:rsidRPr="00A50E76">
              <w:rPr>
                <w:rFonts w:eastAsia="Calibri"/>
                <w:lang w:eastAsia="ru-RU"/>
              </w:rPr>
              <w:t xml:space="preserve">На последующие периоды предусмотрен как рост тарифа по годам, так и его резкое снижение (например, в 2023 году по сравнению с 2022 годом – снижение на 21%), о чем также сообщалось в письме от 01.09.2021 № 01/01/21-13663. </w:t>
            </w:r>
          </w:p>
          <w:p w:rsidR="00BC5C83" w:rsidRPr="00A50E76" w:rsidRDefault="00BC5C83" w:rsidP="009A28D8">
            <w:pPr>
              <w:jc w:val="both"/>
            </w:pPr>
            <w:r w:rsidRPr="00A50E76">
              <w:rPr>
                <w:rFonts w:eastAsia="Calibri"/>
                <w:lang w:eastAsia="ru-RU"/>
              </w:rPr>
              <w:t>Повторно прошу направить в адрес ООО «Экология-Новосибирск» алгоритм расчета тарифа на услугу по обращению с ТКО, указанного в электронной модели Территориальной схемы по годам, или его структуру.</w:t>
            </w:r>
          </w:p>
        </w:tc>
        <w:tc>
          <w:tcPr>
            <w:tcW w:w="3920" w:type="dxa"/>
          </w:tcPr>
          <w:p w:rsidR="00BC5C83" w:rsidRPr="00A50E76" w:rsidRDefault="00876083" w:rsidP="009A28D8">
            <w:pPr>
              <w:spacing w:after="100" w:afterAutospacing="1"/>
              <w:contextualSpacing/>
              <w:jc w:val="both"/>
            </w:pPr>
            <w:r w:rsidRPr="00A50E76">
              <w:t xml:space="preserve">НЕ </w:t>
            </w:r>
            <w:r w:rsidR="00BC5C83" w:rsidRPr="00A50E76">
              <w:t>УЧТЕНО</w:t>
            </w:r>
          </w:p>
          <w:p w:rsidR="00876083" w:rsidRPr="00A50E76" w:rsidRDefault="00876083" w:rsidP="00876083">
            <w:pPr>
              <w:spacing w:after="100" w:afterAutospacing="1"/>
              <w:contextualSpacing/>
              <w:jc w:val="both"/>
            </w:pPr>
            <w:r w:rsidRPr="00A50E76">
              <w:t>Утверждённый тариф регионального оператора указан в разделе «Тарифы».</w:t>
            </w:r>
          </w:p>
          <w:p w:rsidR="00876083" w:rsidRPr="00A50E76" w:rsidRDefault="00876083" w:rsidP="00113E01">
            <w:pPr>
              <w:spacing w:after="100" w:afterAutospacing="1"/>
              <w:contextualSpacing/>
              <w:jc w:val="both"/>
            </w:pPr>
            <w:r w:rsidRPr="00A50E76">
              <w:t>В верхнем правом углу ЭМ отображается «прогноз тарифа» исходя из данных внесенных в модель по численности населения, объемам образования отходов, расстояниям между населенными пунктами и объектами, объектами и объектами, объем отходов перевозимый за рейс, средняя стоимость на 1 км пробега до конкретного объекта, расходы на захоронение и обработку, расходы регионального оператора и прочие затраты при необходимости.</w:t>
            </w:r>
          </w:p>
        </w:tc>
      </w:tr>
      <w:tr w:rsidR="00A50E76" w:rsidRPr="00A50E76" w:rsidTr="00BC400D">
        <w:trPr>
          <w:trHeight w:val="2316"/>
        </w:trPr>
        <w:tc>
          <w:tcPr>
            <w:tcW w:w="568" w:type="dxa"/>
          </w:tcPr>
          <w:p w:rsidR="00BC5C83" w:rsidRPr="00A50E76" w:rsidRDefault="00BC5C83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  <w:vMerge/>
          </w:tcPr>
          <w:p w:rsidR="00BC5C83" w:rsidRPr="00A50E76" w:rsidRDefault="00BC5C83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  <w:vMerge/>
          </w:tcPr>
          <w:p w:rsidR="00BC5C83" w:rsidRPr="00A50E76" w:rsidRDefault="00BC5C83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BC5C83" w:rsidRPr="00A50E76" w:rsidRDefault="00BC5C83" w:rsidP="009A28D8">
            <w:pPr>
              <w:spacing w:after="100" w:afterAutospacing="1"/>
              <w:contextualSpacing/>
            </w:pPr>
            <w:r w:rsidRPr="00A50E76">
              <w:t>Раздел 9.1</w:t>
            </w:r>
          </w:p>
        </w:tc>
        <w:tc>
          <w:tcPr>
            <w:tcW w:w="4851" w:type="dxa"/>
          </w:tcPr>
          <w:p w:rsidR="00BC5C83" w:rsidRPr="00A50E76" w:rsidRDefault="00BC5C83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Изложить в следующей редакции:</w:t>
            </w:r>
          </w:p>
          <w:p w:rsidR="00BC5C83" w:rsidRPr="00A50E76" w:rsidRDefault="00BC5C83" w:rsidP="009A28D8">
            <w:pPr>
              <w:ind w:firstLine="540"/>
              <w:jc w:val="both"/>
              <w:rPr>
                <w:b/>
                <w:i/>
              </w:rPr>
            </w:pPr>
            <w:r w:rsidRPr="00A50E76">
              <w:rPr>
                <w:b/>
                <w:i/>
              </w:rPr>
              <w:t>«9.1. Выбор оптимальных способов накопления и транспортировки отходов от мест их образования к местам назначения (обработки, утилизации, обезвреживания, размещения).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>Главным условием санитарной очистки территории является своевременное удаление ТКО с территорий домовладений при соблюдении следующих требований: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>Удаление ТКО из домовладений должно осуществляться регулярно, с установленной периодичностью по маршрутным графикам.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>Все населенные пункты охватываются единой системой санитарной очистки.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>Вывоз ТКО осуществляется спецтранспортом, предназначенным для этих целей.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>Все эти требования выполнимы при планово-регулярной системе санитарной очистки.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 xml:space="preserve">Количество контейнеров, устанавливаемых на контейнерных площадках, определяется исходя из расчетного норматива накопления ТКО и численности проживающего населения. В связи с тенденцией увеличения объема ТКО, образуемого населением, а также </w:t>
            </w:r>
            <w:r w:rsidRPr="00A50E76">
              <w:rPr>
                <w:i/>
              </w:rPr>
              <w:lastRenderedPageBreak/>
              <w:t>тенденцией к изменению морфологического состава в сторону увеличения вторичного сырья в составе ТКО необходимо устанавливать контейнеры для раздельного накопления отходов. Установка подобных контейнеров выполняет следующие функции: улучшение эпидемиологического и эстетического состояния территории, а также экологическое воспитание населения. Кроме того, данное требование предусмотрено нормативными документами, в частности Федеральным законом от 24.06.1998 № 89-ФЗ «Об отходах производства и потребления».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b/>
                <w:i/>
              </w:rPr>
            </w:pPr>
            <w:r w:rsidRPr="00A50E76">
              <w:rPr>
                <w:i/>
              </w:rPr>
              <w:t>Согласно данным из статистического сборника «Населенные пункты Новосибирской области (на 1 января 2021 года)», составленным Территориальным органом Федеральной службы государственной статистики по Новосибирской области, в сельской местности области - 57 пунктов без населения</w:t>
            </w:r>
            <w:r w:rsidRPr="00A50E76">
              <w:rPr>
                <w:bCs/>
                <w:i/>
              </w:rPr>
              <w:t xml:space="preserve">, </w:t>
            </w:r>
            <w:r w:rsidRPr="00A50E76">
              <w:rPr>
                <w:b/>
                <w:bCs/>
                <w:i/>
              </w:rPr>
              <w:t>в которых нецелесообразно организовывать услугу по обращению с ТКО ввиду отсутствия жителей.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 xml:space="preserve">По данным министерства транспорта и дорожного хозяйства Новосибирской области 193 населенных пункта относятся к </w:t>
            </w:r>
            <w:r w:rsidRPr="00A50E76">
              <w:rPr>
                <w:i/>
              </w:rPr>
              <w:lastRenderedPageBreak/>
              <w:t>труднодоступным, движение к которым по автомобильным дорогам регионального и межмуниципального значения Новосибирской области может быть затруднено в период неблагоприятных погодных условий.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b/>
                <w:bCs/>
                <w:i/>
              </w:rPr>
            </w:pPr>
            <w:r w:rsidRPr="00A50E76">
              <w:rPr>
                <w:b/>
                <w:bCs/>
                <w:i/>
              </w:rPr>
              <w:t>В данных населенных пунктах возможно организовать площадки временного накопления, с накоплением от двух до одиннадцати месяцев, при выборе срока накопления обязательно необходимо учитывать мнения местного населения, перевозчика и администрации каждого МО.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b/>
                <w:i/>
              </w:rPr>
            </w:pPr>
            <w:r w:rsidRPr="00A50E76">
              <w:rPr>
                <w:b/>
                <w:bCs/>
                <w:i/>
              </w:rPr>
              <w:t>Информация о малочисленных, труднодоступных населенных пунктах, а также о населенных пунктах без жителей представлена в Приложении № 1.1 к Территориальной схеме.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 xml:space="preserve">Согласно п. 8.4 постановления Правительства Новосибирской области от 11.05.2017 № 176-п «Об утверждении порядка накопления твердых коммунальных отходов (в том числе их раздельного накопления) на территории Новосибирской области», взаимодействие с региональным оператором при организации накопления ТКО осуществляется в соответствии с </w:t>
            </w:r>
            <w:r w:rsidRPr="00A50E76">
              <w:rPr>
                <w:i/>
              </w:rPr>
              <w:lastRenderedPageBreak/>
              <w:t xml:space="preserve">договором на оказание услуг по обращению с ТКО, а согласно </w:t>
            </w:r>
            <w:proofErr w:type="spellStart"/>
            <w:r w:rsidRPr="00A50E76">
              <w:rPr>
                <w:i/>
              </w:rPr>
              <w:t>п.п</w:t>
            </w:r>
            <w:proofErr w:type="spellEnd"/>
            <w:r w:rsidRPr="00A50E76">
              <w:rPr>
                <w:i/>
              </w:rPr>
              <w:t>. 3, п. 9 возможен прием ТКО в пакетах или других предназначенных для их накопления емкостях без использования дополнительных устройств для предварительного накопления.»</w:t>
            </w:r>
          </w:p>
          <w:p w:rsidR="00BC5C83" w:rsidRPr="00A50E76" w:rsidRDefault="00BC5C83" w:rsidP="009A28D8">
            <w:pPr>
              <w:ind w:firstLine="539"/>
              <w:jc w:val="both"/>
            </w:pPr>
            <w:r w:rsidRPr="00A50E76">
              <w:t>Нижеследующий абзац раздела 9.1 подлежит исключению: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i/>
              </w:rPr>
            </w:pPr>
            <w:r w:rsidRPr="00A50E76">
              <w:rPr>
                <w:i/>
              </w:rPr>
              <w:t>«В соответствии с постановлением Правительства Российской Федерации от 12.11.2016 № 1156 «Об обращении с твердыми коммунальными отходами и внесении изменения в постановление Правительства Российской Федерации от 25 августа 2008 г. № 641» периодичность вывоза ТКО определяется в соответствии с приложением к договору на оказание услуг по обращению с ТКО и санитарными правилами и нормами СанПиН 2.1.3684-21 утвержденными постановлением Главного государственного санитарного врача РФ от 28.01.2021 № 3.»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rFonts w:eastAsia="Times New Roman"/>
                <w:lang w:eastAsia="ru-RU"/>
              </w:rPr>
            </w:pPr>
            <w:r w:rsidRPr="00A50E76">
              <w:t xml:space="preserve">Данное положение противоречит требованиям к качеству коммунальных услуг, установленных </w:t>
            </w:r>
            <w:r w:rsidRPr="00A50E76">
              <w:rPr>
                <w:rFonts w:eastAsia="Times New Roman"/>
                <w:lang w:eastAsia="ru-RU"/>
              </w:rPr>
              <w:t xml:space="preserve">постановлением Правительства РФ от 06.05.2011 № 354 "О предоставлении коммунальных услуг собственникам и пользователям помещений </w:t>
            </w:r>
            <w:r w:rsidRPr="00A50E76">
              <w:rPr>
                <w:rFonts w:eastAsia="Times New Roman"/>
                <w:lang w:eastAsia="ru-RU"/>
              </w:rPr>
              <w:lastRenderedPageBreak/>
              <w:t>в многоквартирных домах и жилых домов" (далее – Правила № 354), которыми установлены допустимая продолжительность перерывов предоставления коммунальной услуги и допустимые отклонения качества коммунальной услуги.</w:t>
            </w:r>
          </w:p>
          <w:p w:rsidR="00BC5C83" w:rsidRPr="00A50E76" w:rsidRDefault="00BC5C83" w:rsidP="009A28D8">
            <w:pPr>
              <w:ind w:firstLine="539"/>
              <w:jc w:val="both"/>
            </w:pPr>
            <w:r w:rsidRPr="00A50E76">
              <w:t xml:space="preserve">Кроме этого, противоречит п. 54 постановления Правительства НСО № 176-п, согласно которому при сборе ТКО по маршрутному графику региональный оператор определяет места приема, а также периодичность вывоза ТКО. 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rFonts w:eastAsia="Times New Roman"/>
                <w:lang w:eastAsia="ru-RU"/>
              </w:rPr>
            </w:pPr>
            <w:r w:rsidRPr="00A50E76">
              <w:rPr>
                <w:rFonts w:eastAsia="Times New Roman"/>
                <w:lang w:eastAsia="ru-RU"/>
              </w:rPr>
              <w:t xml:space="preserve">Согласно п. 17 Приложения № 1 Правил № 354 обеспечение своевременного вывоза ТКО </w:t>
            </w:r>
            <w:r w:rsidRPr="00A50E76">
              <w:rPr>
                <w:rFonts w:eastAsia="Times New Roman"/>
                <w:bCs/>
                <w:lang w:eastAsia="ru-RU"/>
              </w:rPr>
              <w:t>из мест накопления</w:t>
            </w:r>
            <w:r w:rsidRPr="00A50E76">
              <w:rPr>
                <w:rFonts w:eastAsia="Times New Roman"/>
                <w:lang w:eastAsia="ru-RU"/>
              </w:rPr>
              <w:t xml:space="preserve"> должно осуществляться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вывоз).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rFonts w:eastAsia="Times New Roman"/>
                <w:lang w:eastAsia="ru-RU"/>
              </w:rPr>
            </w:pPr>
            <w:r w:rsidRPr="00A50E76">
              <w:rPr>
                <w:rFonts w:eastAsia="Times New Roman"/>
                <w:lang w:eastAsia="ru-RU"/>
              </w:rPr>
              <w:t>В случае отсутствия</w:t>
            </w:r>
            <w:r w:rsidRPr="00A50E76">
              <w:rPr>
                <w:rFonts w:eastAsia="Times New Roman"/>
                <w:bCs/>
                <w:lang w:eastAsia="ru-RU"/>
              </w:rPr>
              <w:t xml:space="preserve"> мест (площадок) накопления необходимо руководствоваться</w:t>
            </w:r>
            <w:r w:rsidRPr="00A50E7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A50E76">
              <w:rPr>
                <w:rFonts w:eastAsia="Times New Roman"/>
                <w:lang w:eastAsia="ru-RU"/>
              </w:rPr>
              <w:t xml:space="preserve">постановлением Правительства Новосибирской области от 11.05.2017 № 176-п «Об утверждении порядка сбора твердых коммунальных отходов (в том числе их </w:t>
            </w:r>
            <w:r w:rsidRPr="00A50E76">
              <w:rPr>
                <w:rFonts w:eastAsia="Times New Roman"/>
                <w:lang w:eastAsia="ru-RU"/>
              </w:rPr>
              <w:lastRenderedPageBreak/>
              <w:t xml:space="preserve">раздельного сбора) на территории Новосибирской области» (далее – постановление Правительства НСО № 176-п) предусматривает возможность мобильного приема ТКО от потребителей. Согласно п. 54 постановление Правительства НСО № 176-п при сборе ТКО по маршрутному графику региональный оператор определяет места приема, а также периодичность вывоза ТКО. ТКО передаются оператору по транспортированию в пакетах или других предназначенных для их накопления емкостях. </w:t>
            </w:r>
          </w:p>
          <w:p w:rsidR="00BC5C83" w:rsidRPr="00A50E76" w:rsidRDefault="00BC5C83" w:rsidP="009A28D8">
            <w:pPr>
              <w:ind w:firstLine="539"/>
              <w:jc w:val="both"/>
              <w:rPr>
                <w:rFonts w:eastAsia="Times New Roman"/>
                <w:lang w:eastAsia="ru-RU"/>
              </w:rPr>
            </w:pPr>
            <w:r w:rsidRPr="00A50E76">
              <w:rPr>
                <w:rFonts w:eastAsia="Times New Roman"/>
                <w:lang w:eastAsia="ru-RU"/>
              </w:rPr>
              <w:t xml:space="preserve">Таким образом, в случае отсутствия мест (площадок) накопления положения п. 17 приложения № 1 Правил № 354 не применяются. В таком случае действуют положения постановления Правительства НСО № 176-п. </w:t>
            </w:r>
          </w:p>
          <w:p w:rsidR="00BC5C83" w:rsidRPr="00A50E76" w:rsidRDefault="00BC5C83" w:rsidP="009A28D8">
            <w:pPr>
              <w:ind w:firstLine="539"/>
              <w:jc w:val="both"/>
            </w:pPr>
            <w:r w:rsidRPr="00A50E76">
              <w:t xml:space="preserve">Предложенная редакция раздела 9.1 с указанием на 193 труднодоступных населенных пункта, движение к которым по автомобильным дорогам регионального и межмуниципального значения Новосибирской области может быть затруднено в период неблагоприятных погодных условий, не информативна, поскольку из текста нормативно-правового </w:t>
            </w:r>
            <w:r w:rsidRPr="00A50E76">
              <w:lastRenderedPageBreak/>
              <w:t>акта невозможно установить о каких конкретных населенных пунктах идет речь, что вносит неопределенность в указанное положение нормативно-правового акта и фактически лишает смысловой нагрузки данное положение. Полагаем необходимым поименовать в Территориальной схеме 193 труднодоступных населенных пункта.</w:t>
            </w:r>
          </w:p>
        </w:tc>
        <w:tc>
          <w:tcPr>
            <w:tcW w:w="3920" w:type="dxa"/>
          </w:tcPr>
          <w:p w:rsidR="00BC5C83" w:rsidRPr="00A50E76" w:rsidRDefault="00BC5C83" w:rsidP="009A28D8">
            <w:pPr>
              <w:spacing w:after="100" w:afterAutospacing="1"/>
              <w:contextualSpacing/>
              <w:jc w:val="both"/>
            </w:pPr>
            <w:r w:rsidRPr="00A50E76">
              <w:lastRenderedPageBreak/>
              <w:t>УЧТЕНО ЧАСТИЧНО</w:t>
            </w:r>
          </w:p>
          <w:p w:rsidR="00BC5C83" w:rsidRPr="00A50E76" w:rsidRDefault="00BC5C83" w:rsidP="00853423">
            <w:pPr>
              <w:spacing w:after="100" w:afterAutospacing="1"/>
              <w:contextualSpacing/>
              <w:jc w:val="both"/>
            </w:pPr>
            <w:r w:rsidRPr="00A50E76">
              <w:t>Не учтено в отношении населённых пунктов без населения и труднодоступных населенных пунктов. В постановлении Правительства РФ от 22.09.2018 № 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 отсутствуют требования к размещению в территориальной схеме данной информации.</w:t>
            </w:r>
          </w:p>
        </w:tc>
      </w:tr>
      <w:tr w:rsidR="00A50E76" w:rsidRPr="00A50E76" w:rsidTr="00BC400D">
        <w:trPr>
          <w:trHeight w:val="2316"/>
        </w:trPr>
        <w:tc>
          <w:tcPr>
            <w:tcW w:w="568" w:type="dxa"/>
          </w:tcPr>
          <w:p w:rsidR="0047203E" w:rsidRPr="00A50E76" w:rsidRDefault="0047203E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</w:tcPr>
          <w:p w:rsidR="0047203E" w:rsidRPr="00A50E76" w:rsidRDefault="0047203E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  <w:r w:rsidRPr="00A50E76">
              <w:t>Федеральная служба по надзору в сфере природопользования Российской Федерации</w:t>
            </w:r>
            <w:r w:rsidR="00372302" w:rsidRPr="00A50E76">
              <w:t xml:space="preserve"> (Росприроднадзор)</w:t>
            </w:r>
          </w:p>
        </w:tc>
        <w:tc>
          <w:tcPr>
            <w:tcW w:w="1948" w:type="dxa"/>
          </w:tcPr>
          <w:p w:rsidR="0047203E" w:rsidRPr="00A50E76" w:rsidRDefault="0047203E" w:rsidP="009A28D8">
            <w:pPr>
              <w:spacing w:after="100" w:afterAutospacing="1"/>
              <w:contextualSpacing/>
              <w:jc w:val="center"/>
            </w:pPr>
            <w:r w:rsidRPr="00A50E76">
              <w:t>№ 1/21-Вх от 30 декабря 2021</w:t>
            </w:r>
          </w:p>
        </w:tc>
        <w:tc>
          <w:tcPr>
            <w:tcW w:w="2071" w:type="dxa"/>
          </w:tcPr>
          <w:p w:rsidR="0047203E" w:rsidRPr="00A50E76" w:rsidRDefault="00C82C16" w:rsidP="009A28D8">
            <w:pPr>
              <w:spacing w:after="100" w:afterAutospacing="1"/>
              <w:contextualSpacing/>
            </w:pPr>
            <w:r w:rsidRPr="00DB07C9">
              <w:t>Разделы 7, 8, 11</w:t>
            </w:r>
          </w:p>
        </w:tc>
        <w:tc>
          <w:tcPr>
            <w:tcW w:w="4851" w:type="dxa"/>
          </w:tcPr>
          <w:p w:rsidR="0047203E" w:rsidRPr="00A50E76" w:rsidRDefault="0047203E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 xml:space="preserve">Разделы «Количество образующихся отходов», «Целевые показатели по обезвреживанию, утилизации и размещению отходов» и «Баланс количественных  характеристик образования, обработки, утилизации, обезвреживания, размещения отходов» проекта территориальной схемы не учитывают данные об отходах производства и потребления, в том числе ТКО, представленные в статистической отчетности по форме 2-ТП (отходы) за 2019 и 2020 годы и размещенные на официальном сайте </w:t>
            </w:r>
            <w:proofErr w:type="spellStart"/>
            <w:r w:rsidRPr="00A50E76">
              <w:t>Росприроднадзора</w:t>
            </w:r>
            <w:proofErr w:type="spellEnd"/>
            <w:r w:rsidRPr="00A50E76">
              <w:t xml:space="preserve"> в разделе «Деятельность», подразделе «Регулирование в сфере обращения с отходами» во вкладке «Справочная информация»;</w:t>
            </w:r>
          </w:p>
        </w:tc>
        <w:tc>
          <w:tcPr>
            <w:tcW w:w="3920" w:type="dxa"/>
          </w:tcPr>
          <w:p w:rsidR="003634EC" w:rsidRPr="00A50E76" w:rsidRDefault="007F136B" w:rsidP="00781066">
            <w:pPr>
              <w:spacing w:after="100" w:afterAutospacing="1"/>
              <w:contextualSpacing/>
              <w:jc w:val="both"/>
            </w:pPr>
            <w:r>
              <w:t>У</w:t>
            </w:r>
            <w:r w:rsidR="0010782F" w:rsidRPr="00A50E76">
              <w:t>ЧТЕНО</w:t>
            </w:r>
          </w:p>
        </w:tc>
      </w:tr>
      <w:tr w:rsidR="00A50E76" w:rsidRPr="00A50E76" w:rsidTr="00BC400D">
        <w:trPr>
          <w:trHeight w:val="2316"/>
        </w:trPr>
        <w:tc>
          <w:tcPr>
            <w:tcW w:w="568" w:type="dxa"/>
          </w:tcPr>
          <w:p w:rsidR="0047203E" w:rsidRPr="00A50E76" w:rsidRDefault="0047203E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</w:tcPr>
          <w:p w:rsidR="0047203E" w:rsidRPr="00A50E76" w:rsidRDefault="0047203E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</w:tcPr>
          <w:p w:rsidR="0047203E" w:rsidRPr="00A50E76" w:rsidRDefault="0047203E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47203E" w:rsidRPr="00A50E76" w:rsidRDefault="00C82C16" w:rsidP="009A28D8">
            <w:pPr>
              <w:spacing w:after="100" w:afterAutospacing="1"/>
              <w:contextualSpacing/>
            </w:pPr>
            <w:r w:rsidRPr="00DB07C9">
              <w:t>Раздел 9</w:t>
            </w:r>
          </w:p>
        </w:tc>
        <w:tc>
          <w:tcPr>
            <w:tcW w:w="4851" w:type="dxa"/>
          </w:tcPr>
          <w:p w:rsidR="0047203E" w:rsidRPr="00A50E76" w:rsidRDefault="00372302" w:rsidP="009A28D8">
            <w:pPr>
              <w:spacing w:after="100" w:afterAutospacing="1" w:line="264" w:lineRule="auto"/>
              <w:contextualSpacing/>
              <w:jc w:val="both"/>
            </w:pPr>
            <w:r w:rsidRPr="00A50E76">
              <w:t>В</w:t>
            </w:r>
            <w:r w:rsidR="0047203E" w:rsidRPr="00A50E76">
              <w:t xml:space="preserve"> разделе «Места накопления отходов» проекта территориальной схемы отсутствует информация о нахождении мест накопления отходов (с нанесением их на карту субъекта Российской Федерации) в соответствии со схемами размещения мест (площадок) накопления твердых коммунальных отходов и реестрами мест (площадок) накопления твердых коммунальных отходов, что не соответствует пункту 9 Правил;</w:t>
            </w:r>
          </w:p>
        </w:tc>
        <w:tc>
          <w:tcPr>
            <w:tcW w:w="3920" w:type="dxa"/>
          </w:tcPr>
          <w:p w:rsidR="00372302" w:rsidRPr="00A50E76" w:rsidRDefault="00372302" w:rsidP="00372302">
            <w:pPr>
              <w:spacing w:after="100" w:afterAutospacing="1"/>
              <w:contextualSpacing/>
              <w:jc w:val="both"/>
            </w:pPr>
            <w:r w:rsidRPr="00A50E76">
              <w:t>НЕ УЧТЕНО</w:t>
            </w:r>
          </w:p>
          <w:p w:rsidR="0047203E" w:rsidRPr="00A50E76" w:rsidRDefault="00372302" w:rsidP="00372302">
            <w:pPr>
              <w:spacing w:after="100" w:afterAutospacing="1"/>
              <w:contextualSpacing/>
              <w:jc w:val="both"/>
            </w:pPr>
            <w:r w:rsidRPr="00A50E76">
              <w:t>Перечень существующих мест накопления - контейнерных площадок для накопления, в том числе раздельного накопления, ТКО на территории Новосибирской области представлен в электронной модели территориальной схемы, что указано в разделе 9. Места накопления отходов  территориальной схемы.</w:t>
            </w:r>
          </w:p>
        </w:tc>
      </w:tr>
      <w:tr w:rsidR="00A50E76" w:rsidRPr="00A50E76" w:rsidTr="00BC400D">
        <w:trPr>
          <w:trHeight w:val="2316"/>
        </w:trPr>
        <w:tc>
          <w:tcPr>
            <w:tcW w:w="568" w:type="dxa"/>
          </w:tcPr>
          <w:p w:rsidR="0047203E" w:rsidRPr="00A50E76" w:rsidRDefault="0047203E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</w:tcPr>
          <w:p w:rsidR="0047203E" w:rsidRPr="00A50E76" w:rsidRDefault="0047203E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</w:tcPr>
          <w:p w:rsidR="0047203E" w:rsidRPr="00A50E76" w:rsidRDefault="0047203E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47203E" w:rsidRPr="00A50E76" w:rsidRDefault="00C82C16" w:rsidP="009A28D8">
            <w:pPr>
              <w:spacing w:after="100" w:afterAutospacing="1"/>
              <w:contextualSpacing/>
            </w:pPr>
            <w:r w:rsidRPr="00DB07C9">
              <w:t>Раздел 11</w:t>
            </w:r>
          </w:p>
        </w:tc>
        <w:tc>
          <w:tcPr>
            <w:tcW w:w="4851" w:type="dxa"/>
          </w:tcPr>
          <w:p w:rsidR="0047203E" w:rsidRPr="00A50E76" w:rsidRDefault="0010782F" w:rsidP="0047203E">
            <w:pPr>
              <w:pStyle w:val="ac"/>
              <w:rPr>
                <w:rFonts w:hint="eastAsia"/>
                <w:lang w:val="ru-RU"/>
              </w:rPr>
            </w:pPr>
            <w:r w:rsidRPr="00A50E76">
              <w:rPr>
                <w:lang w:val="ru-RU"/>
              </w:rPr>
              <w:t>В</w:t>
            </w:r>
            <w:r w:rsidR="0047203E" w:rsidRPr="00A50E76">
              <w:rPr>
                <w:lang w:val="ru-RU"/>
              </w:rPr>
              <w:t xml:space="preserve"> разделе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</w:t>
            </w:r>
            <w:proofErr w:type="gramStart"/>
            <w:r w:rsidR="0047203E" w:rsidRPr="00A50E76">
              <w:rPr>
                <w:lang w:val="ru-RU"/>
              </w:rPr>
              <w:t>проекта территориальной схемы</w:t>
            </w:r>
            <w:proofErr w:type="gramEnd"/>
            <w:r w:rsidR="0047203E" w:rsidRPr="00A50E76">
              <w:rPr>
                <w:lang w:val="ru-RU"/>
              </w:rPr>
              <w:t xml:space="preserve"> отсутствуют данные о количестве отходов (суммарно и с разбивкой по видам и классам опасности отходов), принимаемых для обработки, утилизации, обезвреживания, размещения, а также данные о количестве обработанных, утилизированных, обезвреженных и размещенных отходов. </w:t>
            </w:r>
          </w:p>
        </w:tc>
        <w:tc>
          <w:tcPr>
            <w:tcW w:w="3920" w:type="dxa"/>
          </w:tcPr>
          <w:p w:rsidR="0010782F" w:rsidRPr="00A50E76" w:rsidRDefault="0010782F" w:rsidP="0010782F">
            <w:pPr>
              <w:spacing w:after="100" w:afterAutospacing="1"/>
              <w:contextualSpacing/>
              <w:jc w:val="both"/>
            </w:pPr>
            <w:r w:rsidRPr="00A50E76">
              <w:t>НЕ УЧТЕНО</w:t>
            </w:r>
          </w:p>
          <w:p w:rsidR="0047203E" w:rsidRPr="00A50E76" w:rsidRDefault="00781066" w:rsidP="007F136B">
            <w:pPr>
              <w:spacing w:after="100" w:afterAutospacing="1"/>
              <w:contextualSpacing/>
              <w:jc w:val="both"/>
            </w:pPr>
            <w:r w:rsidRPr="00A50E76">
              <w:t xml:space="preserve">Актуальные данные за 2018-2021 годы в открытом доступе на официальном сайте Федеральной службы по надзору в сфере природопользования отсутствуют. </w:t>
            </w:r>
            <w:bookmarkStart w:id="0" w:name="_GoBack"/>
            <w:bookmarkEnd w:id="0"/>
          </w:p>
        </w:tc>
      </w:tr>
      <w:tr w:rsidR="00A50E76" w:rsidRPr="00A50E76" w:rsidTr="00BC400D">
        <w:trPr>
          <w:trHeight w:val="2316"/>
        </w:trPr>
        <w:tc>
          <w:tcPr>
            <w:tcW w:w="568" w:type="dxa"/>
          </w:tcPr>
          <w:p w:rsidR="0047203E" w:rsidRPr="00A50E76" w:rsidRDefault="0047203E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</w:tcPr>
          <w:p w:rsidR="0047203E" w:rsidRPr="00A50E76" w:rsidRDefault="0047203E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</w:tcPr>
          <w:p w:rsidR="0047203E" w:rsidRPr="00A50E76" w:rsidRDefault="0047203E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47203E" w:rsidRPr="00A50E76" w:rsidRDefault="0047203E" w:rsidP="009A28D8">
            <w:pPr>
              <w:spacing w:after="100" w:afterAutospacing="1"/>
              <w:contextualSpacing/>
            </w:pPr>
          </w:p>
        </w:tc>
        <w:tc>
          <w:tcPr>
            <w:tcW w:w="4851" w:type="dxa"/>
          </w:tcPr>
          <w:p w:rsidR="0047203E" w:rsidRPr="00A50E76" w:rsidRDefault="0047203E" w:rsidP="0047203E">
            <w:pPr>
              <w:pStyle w:val="ac"/>
              <w:rPr>
                <w:rFonts w:hint="eastAsia"/>
                <w:lang w:val="ru-RU"/>
              </w:rPr>
            </w:pPr>
            <w:r w:rsidRPr="00A50E76">
              <w:rPr>
                <w:lang w:val="ru-RU"/>
              </w:rPr>
              <w:t xml:space="preserve">Обращаем внимание, что в связи с поручением Заместителя Председателя Правительства Российской Федерации А.В. Гордеева от 24.01.2019 № АГ-П9-431, в территориальные схемы обращения с отходами, в том числе с твердыми коммунальными отходами необходимо включать информацию по объектам утилизации, обезвреживания и размещения отходов животноводства. </w:t>
            </w:r>
          </w:p>
        </w:tc>
        <w:tc>
          <w:tcPr>
            <w:tcW w:w="3920" w:type="dxa"/>
          </w:tcPr>
          <w:p w:rsidR="0010782F" w:rsidRPr="00A50E76" w:rsidRDefault="0010782F" w:rsidP="0010782F">
            <w:pPr>
              <w:spacing w:after="100" w:afterAutospacing="1"/>
              <w:contextualSpacing/>
              <w:jc w:val="both"/>
            </w:pPr>
            <w:r w:rsidRPr="00A50E76">
              <w:t>НЕ УЧТЕНО</w:t>
            </w:r>
          </w:p>
          <w:p w:rsidR="0047203E" w:rsidRPr="00A50E76" w:rsidRDefault="0010782F" w:rsidP="0010782F">
            <w:pPr>
              <w:spacing w:after="100" w:afterAutospacing="1"/>
              <w:contextualSpacing/>
              <w:jc w:val="both"/>
            </w:pPr>
            <w:r w:rsidRPr="00A50E76">
              <w:t>Не предусмотрено постановлением Правительства РФ от 22.09.2018 № 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схем».</w:t>
            </w:r>
          </w:p>
        </w:tc>
      </w:tr>
      <w:tr w:rsidR="00A50E76" w:rsidRPr="00A50E76" w:rsidTr="00781066">
        <w:trPr>
          <w:trHeight w:val="1465"/>
        </w:trPr>
        <w:tc>
          <w:tcPr>
            <w:tcW w:w="568" w:type="dxa"/>
          </w:tcPr>
          <w:p w:rsidR="0047203E" w:rsidRPr="00A50E76" w:rsidRDefault="0047203E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</w:tcPr>
          <w:p w:rsidR="0047203E" w:rsidRPr="00A50E76" w:rsidRDefault="0047203E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</w:tcPr>
          <w:p w:rsidR="0047203E" w:rsidRPr="00A50E76" w:rsidRDefault="0047203E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47203E" w:rsidRPr="00A50E76" w:rsidRDefault="0047203E" w:rsidP="009A28D8">
            <w:pPr>
              <w:spacing w:after="100" w:afterAutospacing="1"/>
              <w:contextualSpacing/>
            </w:pPr>
          </w:p>
        </w:tc>
        <w:tc>
          <w:tcPr>
            <w:tcW w:w="4851" w:type="dxa"/>
          </w:tcPr>
          <w:p w:rsidR="0047203E" w:rsidRPr="00A50E76" w:rsidRDefault="0047203E" w:rsidP="0010782F">
            <w:pPr>
              <w:pStyle w:val="ac"/>
              <w:spacing w:after="0"/>
              <w:rPr>
                <w:rFonts w:hint="eastAsia"/>
                <w:lang w:val="ru-RU"/>
              </w:rPr>
            </w:pPr>
            <w:r w:rsidRPr="00A50E76">
              <w:rPr>
                <w:lang w:val="ru-RU"/>
              </w:rPr>
              <w:t xml:space="preserve">Дополнительно сообщаем, что постановлением Правительства Российской Федерации от 28.12.2020 № 2314 утверждены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(далее – Правила № 2314). </w:t>
            </w:r>
          </w:p>
          <w:p w:rsidR="0010782F" w:rsidRPr="00A50E76" w:rsidRDefault="0047203E" w:rsidP="0010782F">
            <w:pPr>
              <w:pStyle w:val="ac"/>
              <w:spacing w:after="0"/>
              <w:rPr>
                <w:rFonts w:hint="eastAsia"/>
                <w:lang w:val="ru-RU"/>
              </w:rPr>
            </w:pPr>
            <w:r w:rsidRPr="00A50E76">
              <w:rPr>
                <w:lang w:val="ru-RU"/>
              </w:rPr>
              <w:t xml:space="preserve">В соответствии с пунктом 11 Правил № 2314 сбор отработанных ртутьсодержащих ламп у потребителей осуществляют операторы в </w:t>
            </w:r>
            <w:r w:rsidRPr="00A50E76">
              <w:rPr>
                <w:lang w:val="ru-RU"/>
              </w:rPr>
              <w:lastRenderedPageBreak/>
              <w:t xml:space="preserve">местах накопления отработанных ртутьсодержащих ламп, информация о которых должна быть отражена в территориальной схеме обращения с отходами субъекта </w:t>
            </w:r>
            <w:r w:rsidR="0010782F" w:rsidRPr="00A50E76">
              <w:rPr>
                <w:lang w:val="ru-RU"/>
              </w:rPr>
              <w:t>Российской Федерации.</w:t>
            </w:r>
          </w:p>
        </w:tc>
        <w:tc>
          <w:tcPr>
            <w:tcW w:w="3920" w:type="dxa"/>
          </w:tcPr>
          <w:p w:rsidR="0010782F" w:rsidRPr="00A50E76" w:rsidRDefault="0010782F" w:rsidP="0010782F">
            <w:pPr>
              <w:spacing w:after="100" w:afterAutospacing="1"/>
              <w:contextualSpacing/>
              <w:jc w:val="both"/>
            </w:pPr>
            <w:r w:rsidRPr="00A50E76">
              <w:lastRenderedPageBreak/>
              <w:t>НЕ УЧТЕНО</w:t>
            </w:r>
          </w:p>
          <w:p w:rsidR="0047203E" w:rsidRPr="00A50E76" w:rsidRDefault="0010782F" w:rsidP="0010782F">
            <w:pPr>
              <w:spacing w:after="100" w:afterAutospacing="1"/>
              <w:contextualSpacing/>
              <w:jc w:val="both"/>
            </w:pPr>
            <w:r w:rsidRPr="00A50E76">
              <w:t>Данная информация отражена в электронной модели территориальной схемы.</w:t>
            </w:r>
          </w:p>
        </w:tc>
      </w:tr>
      <w:tr w:rsidR="00A50E76" w:rsidRPr="00A50E76" w:rsidTr="00BC400D">
        <w:trPr>
          <w:trHeight w:val="2316"/>
        </w:trPr>
        <w:tc>
          <w:tcPr>
            <w:tcW w:w="568" w:type="dxa"/>
          </w:tcPr>
          <w:p w:rsidR="0047203E" w:rsidRPr="00A50E76" w:rsidRDefault="0047203E" w:rsidP="009A28D8">
            <w:pPr>
              <w:pStyle w:val="a4"/>
              <w:numPr>
                <w:ilvl w:val="0"/>
                <w:numId w:val="3"/>
              </w:numPr>
              <w:spacing w:after="100" w:afterAutospacing="1"/>
              <w:ind w:left="29" w:firstLine="0"/>
              <w:jc w:val="center"/>
            </w:pPr>
          </w:p>
        </w:tc>
        <w:tc>
          <w:tcPr>
            <w:tcW w:w="2268" w:type="dxa"/>
          </w:tcPr>
          <w:p w:rsidR="0047203E" w:rsidRPr="00A50E76" w:rsidRDefault="0047203E" w:rsidP="009A28D8">
            <w:pPr>
              <w:autoSpaceDE w:val="0"/>
              <w:autoSpaceDN w:val="0"/>
              <w:adjustRightInd w:val="0"/>
              <w:spacing w:after="100" w:afterAutospacing="1" w:line="276" w:lineRule="auto"/>
              <w:contextualSpacing/>
            </w:pPr>
          </w:p>
        </w:tc>
        <w:tc>
          <w:tcPr>
            <w:tcW w:w="1948" w:type="dxa"/>
          </w:tcPr>
          <w:p w:rsidR="0047203E" w:rsidRPr="00A50E76" w:rsidRDefault="0047203E" w:rsidP="009A28D8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:rsidR="0047203E" w:rsidRPr="00A50E76" w:rsidRDefault="0047203E" w:rsidP="009A28D8">
            <w:pPr>
              <w:spacing w:after="100" w:afterAutospacing="1"/>
              <w:contextualSpacing/>
            </w:pPr>
          </w:p>
        </w:tc>
        <w:tc>
          <w:tcPr>
            <w:tcW w:w="4851" w:type="dxa"/>
          </w:tcPr>
          <w:p w:rsidR="0047203E" w:rsidRPr="00A50E76" w:rsidRDefault="0047203E" w:rsidP="0010782F">
            <w:pPr>
              <w:pStyle w:val="ac"/>
              <w:spacing w:after="0"/>
              <w:rPr>
                <w:rFonts w:hint="eastAsia"/>
                <w:lang w:val="ru-RU"/>
              </w:rPr>
            </w:pPr>
            <w:r w:rsidRPr="00A50E76">
              <w:rPr>
                <w:lang w:val="ru-RU"/>
              </w:rPr>
              <w:t>В соответствии с постановлением Правительства Российской Федерации от 02.12.2021 № 2181 в территориальную схему обращения с отходами субъекта Российской Федерации необходимо включать информацию о необходимом количестве контейнеров и бункеров в соответствующей зоне деятельности регионального оператора, данные о количестве контейнеров и бункеров, планируемых к приобретению региональным оператором и по годам.</w:t>
            </w:r>
          </w:p>
        </w:tc>
        <w:tc>
          <w:tcPr>
            <w:tcW w:w="3920" w:type="dxa"/>
          </w:tcPr>
          <w:p w:rsidR="0047203E" w:rsidRPr="00A50E76" w:rsidRDefault="003634EC" w:rsidP="009A28D8">
            <w:pPr>
              <w:spacing w:after="100" w:afterAutospacing="1"/>
              <w:contextualSpacing/>
              <w:jc w:val="both"/>
            </w:pPr>
            <w:r w:rsidRPr="00A50E76">
              <w:t>УЧТЕНО</w:t>
            </w:r>
          </w:p>
        </w:tc>
      </w:tr>
    </w:tbl>
    <w:p w:rsidR="000B507E" w:rsidRPr="00A50E76" w:rsidRDefault="000B507E" w:rsidP="00BC5C83">
      <w:pPr>
        <w:spacing w:after="100" w:afterAutospacing="1"/>
        <w:contextualSpacing/>
        <w:rPr>
          <w:lang w:val="en-US"/>
        </w:rPr>
      </w:pPr>
    </w:p>
    <w:sectPr w:rsidR="000B507E" w:rsidRPr="00A50E76" w:rsidSect="000B50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4CF"/>
    <w:multiLevelType w:val="hybridMultilevel"/>
    <w:tmpl w:val="66BEFBB6"/>
    <w:lvl w:ilvl="0" w:tplc="D5A0159C">
      <w:start w:val="1"/>
      <w:numFmt w:val="decimal"/>
      <w:lvlText w:val="%1)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9AB6495"/>
    <w:multiLevelType w:val="hybridMultilevel"/>
    <w:tmpl w:val="EB388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C079C"/>
    <w:multiLevelType w:val="hybridMultilevel"/>
    <w:tmpl w:val="005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8"/>
    <w:rsid w:val="00007335"/>
    <w:rsid w:val="000248BE"/>
    <w:rsid w:val="0002666D"/>
    <w:rsid w:val="00027707"/>
    <w:rsid w:val="000317DA"/>
    <w:rsid w:val="00036C96"/>
    <w:rsid w:val="00040072"/>
    <w:rsid w:val="0004722B"/>
    <w:rsid w:val="00056E82"/>
    <w:rsid w:val="00081B08"/>
    <w:rsid w:val="000A17D6"/>
    <w:rsid w:val="000B507E"/>
    <w:rsid w:val="000C03D2"/>
    <w:rsid w:val="000C48E7"/>
    <w:rsid w:val="000D0C37"/>
    <w:rsid w:val="0010782F"/>
    <w:rsid w:val="00113E01"/>
    <w:rsid w:val="00137187"/>
    <w:rsid w:val="00142F72"/>
    <w:rsid w:val="001461DB"/>
    <w:rsid w:val="001507E2"/>
    <w:rsid w:val="00160760"/>
    <w:rsid w:val="001661C9"/>
    <w:rsid w:val="001755E7"/>
    <w:rsid w:val="001830EB"/>
    <w:rsid w:val="00184DAB"/>
    <w:rsid w:val="001900C1"/>
    <w:rsid w:val="001926D9"/>
    <w:rsid w:val="00196FFD"/>
    <w:rsid w:val="001977BD"/>
    <w:rsid w:val="001A22F5"/>
    <w:rsid w:val="001A3523"/>
    <w:rsid w:val="001A371F"/>
    <w:rsid w:val="001C4160"/>
    <w:rsid w:val="001D7DED"/>
    <w:rsid w:val="001E1957"/>
    <w:rsid w:val="001F0722"/>
    <w:rsid w:val="00203C11"/>
    <w:rsid w:val="0023258B"/>
    <w:rsid w:val="0023742E"/>
    <w:rsid w:val="00241CF4"/>
    <w:rsid w:val="00250727"/>
    <w:rsid w:val="0025135D"/>
    <w:rsid w:val="00262F20"/>
    <w:rsid w:val="002A5884"/>
    <w:rsid w:val="002A65F4"/>
    <w:rsid w:val="002B36B0"/>
    <w:rsid w:val="002C321C"/>
    <w:rsid w:val="002C600D"/>
    <w:rsid w:val="002C6AEA"/>
    <w:rsid w:val="002D16AE"/>
    <w:rsid w:val="002E4665"/>
    <w:rsid w:val="002E7A5A"/>
    <w:rsid w:val="002E7F63"/>
    <w:rsid w:val="0030629F"/>
    <w:rsid w:val="00313CEE"/>
    <w:rsid w:val="00317E2F"/>
    <w:rsid w:val="00323E6B"/>
    <w:rsid w:val="00330077"/>
    <w:rsid w:val="00330D78"/>
    <w:rsid w:val="003318B8"/>
    <w:rsid w:val="00342720"/>
    <w:rsid w:val="00346117"/>
    <w:rsid w:val="003502ED"/>
    <w:rsid w:val="003541DF"/>
    <w:rsid w:val="00361D7E"/>
    <w:rsid w:val="003634EC"/>
    <w:rsid w:val="00363591"/>
    <w:rsid w:val="00372302"/>
    <w:rsid w:val="00373086"/>
    <w:rsid w:val="0037534F"/>
    <w:rsid w:val="003778B0"/>
    <w:rsid w:val="00384E57"/>
    <w:rsid w:val="003858C9"/>
    <w:rsid w:val="003B3871"/>
    <w:rsid w:val="003D384B"/>
    <w:rsid w:val="003D79D5"/>
    <w:rsid w:val="003E0B70"/>
    <w:rsid w:val="003E17DD"/>
    <w:rsid w:val="0041246D"/>
    <w:rsid w:val="004269C9"/>
    <w:rsid w:val="0042761E"/>
    <w:rsid w:val="00462659"/>
    <w:rsid w:val="0047203E"/>
    <w:rsid w:val="0048010D"/>
    <w:rsid w:val="00480E7B"/>
    <w:rsid w:val="00485E00"/>
    <w:rsid w:val="004A1CD3"/>
    <w:rsid w:val="004A4D3A"/>
    <w:rsid w:val="004B02D1"/>
    <w:rsid w:val="004B4B4E"/>
    <w:rsid w:val="004B667F"/>
    <w:rsid w:val="004C2E9E"/>
    <w:rsid w:val="004D4F48"/>
    <w:rsid w:val="004E0AFE"/>
    <w:rsid w:val="004E1BF4"/>
    <w:rsid w:val="004F2E81"/>
    <w:rsid w:val="004F307A"/>
    <w:rsid w:val="004F6F53"/>
    <w:rsid w:val="0052313B"/>
    <w:rsid w:val="005247D2"/>
    <w:rsid w:val="0052584A"/>
    <w:rsid w:val="00531CDE"/>
    <w:rsid w:val="005512F4"/>
    <w:rsid w:val="005B4994"/>
    <w:rsid w:val="005B58A5"/>
    <w:rsid w:val="005D1A79"/>
    <w:rsid w:val="005E28F9"/>
    <w:rsid w:val="005E39C1"/>
    <w:rsid w:val="005E487F"/>
    <w:rsid w:val="005F6947"/>
    <w:rsid w:val="00610978"/>
    <w:rsid w:val="00615807"/>
    <w:rsid w:val="006177D0"/>
    <w:rsid w:val="00621325"/>
    <w:rsid w:val="00623230"/>
    <w:rsid w:val="00625318"/>
    <w:rsid w:val="0063343F"/>
    <w:rsid w:val="00650B85"/>
    <w:rsid w:val="00653A8B"/>
    <w:rsid w:val="00664D2B"/>
    <w:rsid w:val="00675B8B"/>
    <w:rsid w:val="00684E82"/>
    <w:rsid w:val="00694756"/>
    <w:rsid w:val="006A193C"/>
    <w:rsid w:val="006C2B0D"/>
    <w:rsid w:val="006C357A"/>
    <w:rsid w:val="006D4177"/>
    <w:rsid w:val="006D4F01"/>
    <w:rsid w:val="006D71C3"/>
    <w:rsid w:val="006F025C"/>
    <w:rsid w:val="006F71EA"/>
    <w:rsid w:val="00705505"/>
    <w:rsid w:val="007167EE"/>
    <w:rsid w:val="00736337"/>
    <w:rsid w:val="00751EAE"/>
    <w:rsid w:val="00770D33"/>
    <w:rsid w:val="00774AD0"/>
    <w:rsid w:val="00781066"/>
    <w:rsid w:val="007822D5"/>
    <w:rsid w:val="007921DF"/>
    <w:rsid w:val="00797D91"/>
    <w:rsid w:val="007A4A9B"/>
    <w:rsid w:val="007B3D9E"/>
    <w:rsid w:val="007B7C33"/>
    <w:rsid w:val="007E3149"/>
    <w:rsid w:val="007E5C41"/>
    <w:rsid w:val="007E71AC"/>
    <w:rsid w:val="007F136B"/>
    <w:rsid w:val="007F47DF"/>
    <w:rsid w:val="0081740F"/>
    <w:rsid w:val="008204AF"/>
    <w:rsid w:val="00822E68"/>
    <w:rsid w:val="00823197"/>
    <w:rsid w:val="00824398"/>
    <w:rsid w:val="00832C2B"/>
    <w:rsid w:val="00832D94"/>
    <w:rsid w:val="0083495A"/>
    <w:rsid w:val="0083596C"/>
    <w:rsid w:val="00845845"/>
    <w:rsid w:val="00852BA1"/>
    <w:rsid w:val="00853423"/>
    <w:rsid w:val="008542F4"/>
    <w:rsid w:val="0085449A"/>
    <w:rsid w:val="00873F2E"/>
    <w:rsid w:val="00874FEF"/>
    <w:rsid w:val="00876083"/>
    <w:rsid w:val="00886F3F"/>
    <w:rsid w:val="00892A2A"/>
    <w:rsid w:val="008A5AEC"/>
    <w:rsid w:val="008A6F2E"/>
    <w:rsid w:val="008B7B43"/>
    <w:rsid w:val="008C5027"/>
    <w:rsid w:val="008D4A13"/>
    <w:rsid w:val="008E51A9"/>
    <w:rsid w:val="008E6198"/>
    <w:rsid w:val="008F05BE"/>
    <w:rsid w:val="008F45FA"/>
    <w:rsid w:val="008F6CCE"/>
    <w:rsid w:val="00902CA7"/>
    <w:rsid w:val="00903544"/>
    <w:rsid w:val="00906947"/>
    <w:rsid w:val="00907CA3"/>
    <w:rsid w:val="009109B7"/>
    <w:rsid w:val="00911ADA"/>
    <w:rsid w:val="00926EE8"/>
    <w:rsid w:val="00940D5B"/>
    <w:rsid w:val="00943B59"/>
    <w:rsid w:val="00954416"/>
    <w:rsid w:val="00963DB2"/>
    <w:rsid w:val="0099385B"/>
    <w:rsid w:val="0099788A"/>
    <w:rsid w:val="009A22FA"/>
    <w:rsid w:val="009A28D8"/>
    <w:rsid w:val="009A3789"/>
    <w:rsid w:val="009A584C"/>
    <w:rsid w:val="009A60CB"/>
    <w:rsid w:val="009B0DF8"/>
    <w:rsid w:val="009B114F"/>
    <w:rsid w:val="009B545B"/>
    <w:rsid w:val="009C226D"/>
    <w:rsid w:val="009C6364"/>
    <w:rsid w:val="009C6EE2"/>
    <w:rsid w:val="009C711C"/>
    <w:rsid w:val="009E1410"/>
    <w:rsid w:val="009E2B1C"/>
    <w:rsid w:val="009E35BD"/>
    <w:rsid w:val="009E616C"/>
    <w:rsid w:val="009E71CD"/>
    <w:rsid w:val="009F2CCB"/>
    <w:rsid w:val="009F47EB"/>
    <w:rsid w:val="00A0226D"/>
    <w:rsid w:val="00A06C29"/>
    <w:rsid w:val="00A17E59"/>
    <w:rsid w:val="00A22F23"/>
    <w:rsid w:val="00A24785"/>
    <w:rsid w:val="00A31289"/>
    <w:rsid w:val="00A43282"/>
    <w:rsid w:val="00A44022"/>
    <w:rsid w:val="00A50B97"/>
    <w:rsid w:val="00A50E76"/>
    <w:rsid w:val="00A60E59"/>
    <w:rsid w:val="00A64FBF"/>
    <w:rsid w:val="00A67DC8"/>
    <w:rsid w:val="00A71060"/>
    <w:rsid w:val="00A7259E"/>
    <w:rsid w:val="00A83805"/>
    <w:rsid w:val="00A922DF"/>
    <w:rsid w:val="00A942FB"/>
    <w:rsid w:val="00AA455A"/>
    <w:rsid w:val="00AA5296"/>
    <w:rsid w:val="00AA5731"/>
    <w:rsid w:val="00AB0107"/>
    <w:rsid w:val="00AB0CFA"/>
    <w:rsid w:val="00AB377A"/>
    <w:rsid w:val="00AB51F6"/>
    <w:rsid w:val="00AC0C65"/>
    <w:rsid w:val="00AC4690"/>
    <w:rsid w:val="00AD79BF"/>
    <w:rsid w:val="00AE7820"/>
    <w:rsid w:val="00B06E54"/>
    <w:rsid w:val="00B1058B"/>
    <w:rsid w:val="00B270D0"/>
    <w:rsid w:val="00B51245"/>
    <w:rsid w:val="00B54FA9"/>
    <w:rsid w:val="00B7187D"/>
    <w:rsid w:val="00B72D55"/>
    <w:rsid w:val="00B75074"/>
    <w:rsid w:val="00B81BF8"/>
    <w:rsid w:val="00BA792B"/>
    <w:rsid w:val="00BB2DC4"/>
    <w:rsid w:val="00BB537A"/>
    <w:rsid w:val="00BB6381"/>
    <w:rsid w:val="00BB77A3"/>
    <w:rsid w:val="00BC34AA"/>
    <w:rsid w:val="00BC400D"/>
    <w:rsid w:val="00BC5C83"/>
    <w:rsid w:val="00BC67B8"/>
    <w:rsid w:val="00BD0A91"/>
    <w:rsid w:val="00BE60FC"/>
    <w:rsid w:val="00BE7B71"/>
    <w:rsid w:val="00BF167F"/>
    <w:rsid w:val="00BF3A67"/>
    <w:rsid w:val="00C27DA7"/>
    <w:rsid w:val="00C31BFE"/>
    <w:rsid w:val="00C52A21"/>
    <w:rsid w:val="00C56AED"/>
    <w:rsid w:val="00C5743E"/>
    <w:rsid w:val="00C7430A"/>
    <w:rsid w:val="00C82C16"/>
    <w:rsid w:val="00C87801"/>
    <w:rsid w:val="00C90441"/>
    <w:rsid w:val="00C94DD5"/>
    <w:rsid w:val="00C97CD4"/>
    <w:rsid w:val="00CA7118"/>
    <w:rsid w:val="00CA745F"/>
    <w:rsid w:val="00CD0C1E"/>
    <w:rsid w:val="00CD5A9D"/>
    <w:rsid w:val="00CD5ECB"/>
    <w:rsid w:val="00CE4EDC"/>
    <w:rsid w:val="00CE79E8"/>
    <w:rsid w:val="00CF03E9"/>
    <w:rsid w:val="00D10FEC"/>
    <w:rsid w:val="00D31403"/>
    <w:rsid w:val="00D325F5"/>
    <w:rsid w:val="00D509E2"/>
    <w:rsid w:val="00D62E5D"/>
    <w:rsid w:val="00D6681A"/>
    <w:rsid w:val="00D75357"/>
    <w:rsid w:val="00D75BDA"/>
    <w:rsid w:val="00D80C43"/>
    <w:rsid w:val="00D840F4"/>
    <w:rsid w:val="00D92CB0"/>
    <w:rsid w:val="00D94301"/>
    <w:rsid w:val="00D94E6A"/>
    <w:rsid w:val="00DB07C9"/>
    <w:rsid w:val="00DB2314"/>
    <w:rsid w:val="00DB3AB0"/>
    <w:rsid w:val="00DC0148"/>
    <w:rsid w:val="00DD10F1"/>
    <w:rsid w:val="00DE2536"/>
    <w:rsid w:val="00DE5E84"/>
    <w:rsid w:val="00DF1142"/>
    <w:rsid w:val="00DF1911"/>
    <w:rsid w:val="00E0531A"/>
    <w:rsid w:val="00E06805"/>
    <w:rsid w:val="00E06D11"/>
    <w:rsid w:val="00E41ED1"/>
    <w:rsid w:val="00E4642E"/>
    <w:rsid w:val="00E65F15"/>
    <w:rsid w:val="00E8384A"/>
    <w:rsid w:val="00E85224"/>
    <w:rsid w:val="00E9360F"/>
    <w:rsid w:val="00E95B31"/>
    <w:rsid w:val="00E97881"/>
    <w:rsid w:val="00EA365C"/>
    <w:rsid w:val="00EA6EB3"/>
    <w:rsid w:val="00EB6812"/>
    <w:rsid w:val="00EC0E86"/>
    <w:rsid w:val="00ED0F7F"/>
    <w:rsid w:val="00ED16D0"/>
    <w:rsid w:val="00ED2032"/>
    <w:rsid w:val="00ED2A30"/>
    <w:rsid w:val="00EE2B99"/>
    <w:rsid w:val="00F00878"/>
    <w:rsid w:val="00F23004"/>
    <w:rsid w:val="00F345D5"/>
    <w:rsid w:val="00F347EE"/>
    <w:rsid w:val="00F4027D"/>
    <w:rsid w:val="00F43BBB"/>
    <w:rsid w:val="00F476EE"/>
    <w:rsid w:val="00F52FA4"/>
    <w:rsid w:val="00F61FC5"/>
    <w:rsid w:val="00F624BC"/>
    <w:rsid w:val="00F664D0"/>
    <w:rsid w:val="00F73F00"/>
    <w:rsid w:val="00F80B72"/>
    <w:rsid w:val="00F81733"/>
    <w:rsid w:val="00F86C8D"/>
    <w:rsid w:val="00F9362E"/>
    <w:rsid w:val="00FA242A"/>
    <w:rsid w:val="00FA5563"/>
    <w:rsid w:val="00FA7260"/>
    <w:rsid w:val="00FB227A"/>
    <w:rsid w:val="00FB2F7C"/>
    <w:rsid w:val="00FB3CCB"/>
    <w:rsid w:val="00FC35C5"/>
    <w:rsid w:val="00FC741B"/>
    <w:rsid w:val="00FD229E"/>
    <w:rsid w:val="00FD62E7"/>
    <w:rsid w:val="00FD6BFC"/>
    <w:rsid w:val="00FE2B5B"/>
    <w:rsid w:val="00FF4C1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1214"/>
  <w15:chartTrackingRefBased/>
  <w15:docId w15:val="{F497F227-8C17-4C8B-BD06-721F348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86C8D"/>
    <w:pPr>
      <w:keepNext/>
      <w:keepLines/>
      <w:spacing w:after="68"/>
      <w:ind w:left="891" w:hanging="10"/>
      <w:jc w:val="both"/>
      <w:outlineLvl w:val="1"/>
    </w:pPr>
    <w:rPr>
      <w:rFonts w:eastAsia="Times New Roman"/>
      <w:b/>
      <w:color w:val="000000"/>
      <w:sz w:val="28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74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B3A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6C8D"/>
    <w:rPr>
      <w:rFonts w:eastAsia="Times New Roman"/>
      <w:b/>
      <w:color w:val="000000"/>
      <w:sz w:val="28"/>
      <w:szCs w:val="22"/>
      <w:lang w:val="en-US"/>
    </w:rPr>
  </w:style>
  <w:style w:type="character" w:styleId="a5">
    <w:name w:val="annotation reference"/>
    <w:basedOn w:val="a0"/>
    <w:uiPriority w:val="99"/>
    <w:semiHidden/>
    <w:unhideWhenUsed/>
    <w:rsid w:val="002325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25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25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25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25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58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47203E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ad">
    <w:name w:val="Основной текст Знак"/>
    <w:basedOn w:val="a0"/>
    <w:link w:val="ac"/>
    <w:rsid w:val="0047203E"/>
    <w:rPr>
      <w:rFonts w:ascii="Liberation Serif" w:eastAsia="Arial Unicode MS" w:hAnsi="Liberation Serif" w:cs="Lucida Sans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4ACB-C0D4-42CF-A07C-367033BB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24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Велигур Кирилл Вадимович</dc:creator>
  <cp:keywords/>
  <dc:description/>
  <cp:lastModifiedBy>Жук Татьяна Викторовна</cp:lastModifiedBy>
  <cp:revision>26</cp:revision>
  <dcterms:created xsi:type="dcterms:W3CDTF">2022-01-10T04:13:00Z</dcterms:created>
  <dcterms:modified xsi:type="dcterms:W3CDTF">2022-01-11T03:07:00Z</dcterms:modified>
</cp:coreProperties>
</file>