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E4" w:rsidRPr="00EF4F29" w:rsidRDefault="00152BE4" w:rsidP="00320370">
      <w:pPr>
        <w:jc w:val="center"/>
        <w:rPr>
          <w:b/>
          <w:sz w:val="28"/>
          <w:szCs w:val="28"/>
        </w:rPr>
      </w:pPr>
      <w:r w:rsidRPr="00EF4F29">
        <w:rPr>
          <w:b/>
          <w:sz w:val="28"/>
          <w:szCs w:val="28"/>
        </w:rPr>
        <w:t>ИНФОРМАЦИЯ</w:t>
      </w:r>
    </w:p>
    <w:p w:rsidR="009E1FAA" w:rsidRPr="00EF4F29" w:rsidRDefault="00152BE4" w:rsidP="00320370">
      <w:pPr>
        <w:jc w:val="center"/>
        <w:rPr>
          <w:b/>
          <w:sz w:val="28"/>
          <w:szCs w:val="28"/>
        </w:rPr>
      </w:pPr>
      <w:r w:rsidRPr="00EF4F29">
        <w:rPr>
          <w:b/>
          <w:sz w:val="28"/>
          <w:szCs w:val="28"/>
        </w:rPr>
        <w:t>об учете замечаний и предложений и (или) причинах их отклонений, поступивших в рамках общественного обсуждения проекта территориальной схемы в области обращения с отходами, в том числе с твердыми коммунальными отходами, Новосибирской области</w:t>
      </w:r>
    </w:p>
    <w:p w:rsidR="00223051" w:rsidRPr="00EF4F29" w:rsidRDefault="00223051" w:rsidP="00EF4F29">
      <w:pPr>
        <w:jc w:val="both"/>
        <w:rPr>
          <w:sz w:val="28"/>
          <w:szCs w:val="28"/>
        </w:rPr>
      </w:pPr>
    </w:p>
    <w:tbl>
      <w:tblPr>
        <w:tblStyle w:val="a5"/>
        <w:tblW w:w="14992" w:type="dxa"/>
        <w:tblLayout w:type="fixed"/>
        <w:tblLook w:val="04A0" w:firstRow="1" w:lastRow="0" w:firstColumn="1" w:lastColumn="0" w:noHBand="0" w:noVBand="1"/>
      </w:tblPr>
      <w:tblGrid>
        <w:gridCol w:w="534"/>
        <w:gridCol w:w="2551"/>
        <w:gridCol w:w="992"/>
        <w:gridCol w:w="5245"/>
        <w:gridCol w:w="5670"/>
      </w:tblGrid>
      <w:tr w:rsidR="00EF4F29" w:rsidRPr="00EF4F29" w:rsidTr="003558A0">
        <w:trPr>
          <w:tblHeader/>
        </w:trPr>
        <w:tc>
          <w:tcPr>
            <w:tcW w:w="534" w:type="dxa"/>
            <w:tcBorders>
              <w:top w:val="single" w:sz="4" w:space="0" w:color="auto"/>
              <w:left w:val="single" w:sz="4" w:space="0" w:color="auto"/>
              <w:bottom w:val="single" w:sz="4" w:space="0" w:color="auto"/>
              <w:right w:val="single" w:sz="4" w:space="0" w:color="auto"/>
            </w:tcBorders>
            <w:vAlign w:val="center"/>
          </w:tcPr>
          <w:p w:rsidR="00EF4F29" w:rsidRPr="0078497B" w:rsidRDefault="00EF4F29" w:rsidP="00EF4F29">
            <w:pPr>
              <w:jc w:val="both"/>
              <w:rPr>
                <w:b/>
              </w:rPr>
            </w:pPr>
            <w:r w:rsidRPr="0078497B">
              <w:rPr>
                <w:b/>
              </w:rPr>
              <w:t>№</w:t>
            </w:r>
          </w:p>
        </w:tc>
        <w:tc>
          <w:tcPr>
            <w:tcW w:w="2551" w:type="dxa"/>
            <w:tcBorders>
              <w:top w:val="single" w:sz="4" w:space="0" w:color="auto"/>
              <w:left w:val="single" w:sz="4" w:space="0" w:color="auto"/>
              <w:bottom w:val="single" w:sz="4" w:space="0" w:color="auto"/>
              <w:right w:val="single" w:sz="4" w:space="0" w:color="auto"/>
            </w:tcBorders>
            <w:vAlign w:val="center"/>
          </w:tcPr>
          <w:p w:rsidR="00EF4F29" w:rsidRPr="0078497B" w:rsidRDefault="00EF4F29" w:rsidP="00EF4F29">
            <w:pPr>
              <w:jc w:val="both"/>
              <w:rPr>
                <w:b/>
              </w:rPr>
            </w:pPr>
            <w:r w:rsidRPr="0078497B">
              <w:rPr>
                <w:b/>
              </w:rPr>
              <w:t>Участник общественного обсуждения (реквизиты входящего документа)</w:t>
            </w:r>
          </w:p>
        </w:tc>
        <w:tc>
          <w:tcPr>
            <w:tcW w:w="992" w:type="dxa"/>
            <w:tcBorders>
              <w:left w:val="single" w:sz="4" w:space="0" w:color="auto"/>
            </w:tcBorders>
            <w:vAlign w:val="center"/>
          </w:tcPr>
          <w:p w:rsidR="00EF4F29" w:rsidRPr="0078497B" w:rsidRDefault="00EF4F29" w:rsidP="00EF4F29">
            <w:pPr>
              <w:jc w:val="both"/>
              <w:rPr>
                <w:b/>
              </w:rPr>
            </w:pPr>
            <w:r w:rsidRPr="0078497B">
              <w:rPr>
                <w:b/>
              </w:rPr>
              <w:t xml:space="preserve">№ </w:t>
            </w:r>
          </w:p>
          <w:p w:rsidR="00EF4F29" w:rsidRPr="0078497B" w:rsidRDefault="00EF4F29" w:rsidP="00EF4F29">
            <w:pPr>
              <w:jc w:val="both"/>
              <w:rPr>
                <w:b/>
              </w:rPr>
            </w:pPr>
            <w:r w:rsidRPr="0078497B">
              <w:rPr>
                <w:b/>
              </w:rPr>
              <w:t xml:space="preserve">замеча-ния </w:t>
            </w:r>
          </w:p>
        </w:tc>
        <w:tc>
          <w:tcPr>
            <w:tcW w:w="5245" w:type="dxa"/>
            <w:vAlign w:val="center"/>
          </w:tcPr>
          <w:p w:rsidR="00EF4F29" w:rsidRPr="0078497B" w:rsidRDefault="00EF4F29" w:rsidP="00EF4F29">
            <w:pPr>
              <w:ind w:firstLine="600"/>
              <w:jc w:val="both"/>
              <w:rPr>
                <w:b/>
              </w:rPr>
            </w:pPr>
            <w:r w:rsidRPr="0078497B">
              <w:rPr>
                <w:b/>
              </w:rPr>
              <w:t>Содержание замечаний и предложений</w:t>
            </w:r>
          </w:p>
        </w:tc>
        <w:tc>
          <w:tcPr>
            <w:tcW w:w="5670" w:type="dxa"/>
          </w:tcPr>
          <w:p w:rsidR="00EF4F29" w:rsidRPr="0078497B" w:rsidRDefault="00594BF6" w:rsidP="00EF4F29">
            <w:pPr>
              <w:jc w:val="both"/>
              <w:rPr>
                <w:b/>
              </w:rPr>
            </w:pPr>
            <w:r>
              <w:rPr>
                <w:b/>
              </w:rPr>
              <w:t>Информация</w:t>
            </w:r>
            <w:r w:rsidR="00EF4F29" w:rsidRPr="0078497B">
              <w:rPr>
                <w:b/>
              </w:rPr>
              <w:t xml:space="preserve"> об учете </w:t>
            </w:r>
            <w:r>
              <w:rPr>
                <w:b/>
              </w:rPr>
              <w:t xml:space="preserve">(не учете) </w:t>
            </w:r>
            <w:r w:rsidR="00EF4F29" w:rsidRPr="0078497B">
              <w:rPr>
                <w:b/>
              </w:rPr>
              <w:t>замечаний и предложени</w:t>
            </w:r>
            <w:r>
              <w:rPr>
                <w:b/>
              </w:rPr>
              <w:t>й и (или) причинах их отклонения</w:t>
            </w:r>
            <w:r w:rsidR="00EF4F29" w:rsidRPr="0078497B">
              <w:rPr>
                <w:b/>
              </w:rPr>
              <w:t xml:space="preserve"> </w:t>
            </w:r>
          </w:p>
        </w:tc>
      </w:tr>
      <w:tr w:rsidR="00F85404" w:rsidRPr="00EF4F29" w:rsidTr="00F360A0">
        <w:tc>
          <w:tcPr>
            <w:tcW w:w="534" w:type="dxa"/>
            <w:tcBorders>
              <w:bottom w:val="single" w:sz="4" w:space="0" w:color="auto"/>
            </w:tcBorders>
            <w:shd w:val="clear" w:color="auto" w:fill="auto"/>
          </w:tcPr>
          <w:p w:rsidR="00F85404" w:rsidRPr="00EF4F29" w:rsidRDefault="00F85404" w:rsidP="00EF4F29">
            <w:pPr>
              <w:jc w:val="both"/>
            </w:pPr>
            <w:r>
              <w:t>1</w:t>
            </w:r>
          </w:p>
        </w:tc>
        <w:tc>
          <w:tcPr>
            <w:tcW w:w="2551" w:type="dxa"/>
            <w:tcBorders>
              <w:bottom w:val="single" w:sz="4" w:space="0" w:color="auto"/>
            </w:tcBorders>
            <w:shd w:val="clear" w:color="auto" w:fill="auto"/>
          </w:tcPr>
          <w:p w:rsidR="00F85404" w:rsidRPr="00EF4F29" w:rsidRDefault="00F85404" w:rsidP="00EF4F29">
            <w:pPr>
              <w:jc w:val="both"/>
            </w:pPr>
            <w:r w:rsidRPr="00573829">
              <w:t>Министерство природных ресурсов и экологии Новосибирской области</w:t>
            </w:r>
          </w:p>
        </w:tc>
        <w:tc>
          <w:tcPr>
            <w:tcW w:w="992" w:type="dxa"/>
            <w:tcBorders>
              <w:top w:val="single" w:sz="4" w:space="0" w:color="auto"/>
              <w:bottom w:val="single" w:sz="4" w:space="0" w:color="auto"/>
            </w:tcBorders>
            <w:shd w:val="clear" w:color="auto" w:fill="auto"/>
          </w:tcPr>
          <w:p w:rsidR="00F85404" w:rsidRPr="00EF4F29" w:rsidRDefault="00F85404" w:rsidP="00EF4F29">
            <w:pPr>
              <w:jc w:val="both"/>
            </w:pPr>
            <w:r>
              <w:t>1.1</w:t>
            </w:r>
          </w:p>
        </w:tc>
        <w:tc>
          <w:tcPr>
            <w:tcW w:w="5245" w:type="dxa"/>
            <w:shd w:val="clear" w:color="auto" w:fill="auto"/>
          </w:tcPr>
          <w:p w:rsidR="00F85404" w:rsidRPr="00EF4F29" w:rsidRDefault="00F85404" w:rsidP="00573829">
            <w:pPr>
              <w:jc w:val="both"/>
            </w:pPr>
            <w:r>
              <w:t xml:space="preserve">Учитывая, что приказом Росприроднадзора от 13.01.2020 № 8 объект с номером </w:t>
            </w:r>
            <w:r w:rsidRPr="00A72B06">
              <w:t>54-00010-З-00592-250914</w:t>
            </w:r>
            <w:r>
              <w:t xml:space="preserve">, расположенный в районе </w:t>
            </w:r>
            <w:r w:rsidRPr="00A72B06">
              <w:rPr>
                <w:color w:val="000000"/>
              </w:rPr>
              <w:t>д.</w:t>
            </w:r>
            <w:r>
              <w:rPr>
                <w:color w:val="000000"/>
              </w:rPr>
              <w:t> </w:t>
            </w:r>
            <w:r w:rsidRPr="00A72B06">
              <w:rPr>
                <w:color w:val="000000"/>
              </w:rPr>
              <w:t>Шадрино Искитимского района Новосибирской области</w:t>
            </w:r>
            <w:r>
              <w:rPr>
                <w:color w:val="000000"/>
              </w:rPr>
              <w:t xml:space="preserve">, </w:t>
            </w:r>
            <w:r>
              <w:t>исключен из ГРОРО, предлагается внести соответствующие изменения в Проект.</w:t>
            </w:r>
          </w:p>
        </w:tc>
        <w:tc>
          <w:tcPr>
            <w:tcW w:w="5670" w:type="dxa"/>
            <w:shd w:val="clear" w:color="auto" w:fill="auto"/>
          </w:tcPr>
          <w:p w:rsidR="00F85404" w:rsidRDefault="00F85404" w:rsidP="00B82F29">
            <w:pPr>
              <w:jc w:val="both"/>
            </w:pPr>
            <w:r>
              <w:t>УЧТЕНО</w:t>
            </w:r>
          </w:p>
          <w:p w:rsidR="00F85404" w:rsidRPr="00EF4F29" w:rsidRDefault="00F85404" w:rsidP="00B82F29">
            <w:pPr>
              <w:jc w:val="both"/>
            </w:pPr>
            <w:r>
              <w:t>Информация об объекте исключена из приложения 4.4. «Объекты ГРОРО ТКО» и включена в приложение 4.5. «Объекты не ГРОРО ТКО с тарифом».</w:t>
            </w:r>
          </w:p>
        </w:tc>
      </w:tr>
      <w:tr w:rsidR="00EF4F29" w:rsidRPr="00EF4F29" w:rsidTr="006C6262">
        <w:tc>
          <w:tcPr>
            <w:tcW w:w="534" w:type="dxa"/>
            <w:tcBorders>
              <w:top w:val="single" w:sz="4" w:space="0" w:color="auto"/>
            </w:tcBorders>
          </w:tcPr>
          <w:p w:rsidR="00EF4F29" w:rsidRPr="00EF4F29" w:rsidRDefault="00954E6D" w:rsidP="00EF4F29">
            <w:pPr>
              <w:jc w:val="both"/>
            </w:pPr>
            <w:r>
              <w:t>2</w:t>
            </w:r>
          </w:p>
        </w:tc>
        <w:tc>
          <w:tcPr>
            <w:tcW w:w="2551" w:type="dxa"/>
            <w:tcBorders>
              <w:top w:val="single" w:sz="4" w:space="0" w:color="auto"/>
            </w:tcBorders>
          </w:tcPr>
          <w:p w:rsidR="00EF4F29" w:rsidRPr="00EF4F29" w:rsidRDefault="009D6867" w:rsidP="00EF4F29">
            <w:pPr>
              <w:jc w:val="both"/>
            </w:pPr>
            <w:r>
              <w:t>Администрация Маслянинского района Новосибирской области (вх. №302/87 от 05.02.2020)</w:t>
            </w:r>
          </w:p>
        </w:tc>
        <w:tc>
          <w:tcPr>
            <w:tcW w:w="992" w:type="dxa"/>
            <w:tcBorders>
              <w:top w:val="single" w:sz="4" w:space="0" w:color="auto"/>
              <w:bottom w:val="single" w:sz="4" w:space="0" w:color="auto"/>
            </w:tcBorders>
            <w:shd w:val="clear" w:color="auto" w:fill="auto"/>
          </w:tcPr>
          <w:p w:rsidR="00EF4F29" w:rsidRPr="00EF4F29" w:rsidRDefault="009D6867" w:rsidP="00EF4F29">
            <w:pPr>
              <w:jc w:val="both"/>
            </w:pPr>
            <w:r>
              <w:t>2.1</w:t>
            </w:r>
          </w:p>
        </w:tc>
        <w:tc>
          <w:tcPr>
            <w:tcW w:w="5245" w:type="dxa"/>
            <w:shd w:val="clear" w:color="auto" w:fill="auto"/>
          </w:tcPr>
          <w:p w:rsidR="006C6262" w:rsidRDefault="009D6867" w:rsidP="009D6867">
            <w:pPr>
              <w:jc w:val="both"/>
            </w:pPr>
            <w:r>
              <w:t xml:space="preserve">В настоящее время в качестве площадки временного накопления отходов используется часть земельного участка с кадастровым номером 54:17:010601:28, расположенный </w:t>
            </w:r>
            <w:r w:rsidR="00262911">
              <w:t>в северо-западном направлении от</w:t>
            </w:r>
            <w:r>
              <w:t xml:space="preserve"> р.п. Маслянино</w:t>
            </w:r>
            <w:r w:rsidR="006C6262">
              <w:t>.</w:t>
            </w:r>
          </w:p>
          <w:p w:rsidR="009D6867" w:rsidRDefault="009D6867" w:rsidP="009D6867">
            <w:pPr>
              <w:jc w:val="both"/>
            </w:pPr>
            <w:r>
              <w:t>Передача</w:t>
            </w:r>
            <w:r w:rsidR="00262911">
              <w:t xml:space="preserve"> данного участка ООО «Экология-</w:t>
            </w:r>
            <w:r>
              <w:t>Новосибирск» в аренду, или на обслуживание (как имущество) не представляется возможным, так как участка нет в территориальной схеме обращения с отходами Новосибирской области.</w:t>
            </w:r>
          </w:p>
          <w:p w:rsidR="009D6867" w:rsidRDefault="009D6867" w:rsidP="009D6867">
            <w:pPr>
              <w:jc w:val="both"/>
            </w:pPr>
            <w:r>
              <w:t xml:space="preserve">Прошу Вас внести изменения в территориальную схему обращения </w:t>
            </w:r>
            <w:r w:rsidR="00262911">
              <w:t>с</w:t>
            </w:r>
            <w:r>
              <w:t xml:space="preserve"> отходами Новосибирской области:</w:t>
            </w:r>
          </w:p>
          <w:p w:rsidR="00EF4F29" w:rsidRPr="00EF4F29" w:rsidRDefault="009D6867" w:rsidP="009D6867">
            <w:pPr>
              <w:jc w:val="both"/>
            </w:pPr>
            <w:r>
              <w:t xml:space="preserve">- включить в территориальную схему обращения с отходами Новосибирской области земельный участок с кадастровым номером 54:17:010601:28, </w:t>
            </w:r>
            <w:r>
              <w:lastRenderedPageBreak/>
              <w:t>как площадку временного накопления отходов, до введения в эксплуатацию новой площадки временного накопления отходов на земельном участке с кадастровым номером 54:17:024403:760.</w:t>
            </w:r>
          </w:p>
        </w:tc>
        <w:tc>
          <w:tcPr>
            <w:tcW w:w="5670" w:type="dxa"/>
            <w:shd w:val="clear" w:color="auto" w:fill="auto"/>
          </w:tcPr>
          <w:p w:rsidR="00C85488" w:rsidRDefault="00C85488" w:rsidP="00C85488">
            <w:pPr>
              <w:jc w:val="both"/>
            </w:pPr>
            <w:r>
              <w:lastRenderedPageBreak/>
              <w:t>НЕ УЧТЕНО</w:t>
            </w:r>
          </w:p>
          <w:p w:rsidR="007321F5" w:rsidRDefault="007321F5" w:rsidP="00C85488">
            <w:pPr>
              <w:jc w:val="both"/>
            </w:pPr>
            <w:r>
              <w:t>В территориальной схеме поименованы земельные участки для создания новых площадок накопления ТКО. В числе таких ПВН предлагаемая ПВН не предусмотрена.</w:t>
            </w:r>
          </w:p>
          <w:p w:rsidR="00CE05A5" w:rsidRPr="00CE05A5" w:rsidRDefault="00CE05A5" w:rsidP="00C85488">
            <w:pPr>
              <w:jc w:val="both"/>
            </w:pPr>
          </w:p>
        </w:tc>
      </w:tr>
      <w:tr w:rsidR="009D6867" w:rsidRPr="00EF4F29" w:rsidTr="00056215">
        <w:tc>
          <w:tcPr>
            <w:tcW w:w="534" w:type="dxa"/>
            <w:vMerge w:val="restart"/>
            <w:tcBorders>
              <w:top w:val="single" w:sz="4" w:space="0" w:color="auto"/>
            </w:tcBorders>
          </w:tcPr>
          <w:p w:rsidR="009D6867" w:rsidRPr="00EF4F29" w:rsidRDefault="009D6867" w:rsidP="00EF4F29">
            <w:pPr>
              <w:jc w:val="both"/>
            </w:pPr>
            <w:r>
              <w:t>3</w:t>
            </w:r>
          </w:p>
        </w:tc>
        <w:tc>
          <w:tcPr>
            <w:tcW w:w="2551" w:type="dxa"/>
            <w:vMerge w:val="restart"/>
            <w:tcBorders>
              <w:top w:val="single" w:sz="4" w:space="0" w:color="auto"/>
            </w:tcBorders>
            <w:shd w:val="clear" w:color="auto" w:fill="auto"/>
          </w:tcPr>
          <w:p w:rsidR="009D6867" w:rsidRPr="00EF4F29" w:rsidRDefault="009D6867" w:rsidP="00EF4F29">
            <w:pPr>
              <w:jc w:val="both"/>
            </w:pPr>
            <w:r>
              <w:t xml:space="preserve">Администрация Болотинского района Новосибирской области </w:t>
            </w:r>
          </w:p>
        </w:tc>
        <w:tc>
          <w:tcPr>
            <w:tcW w:w="992" w:type="dxa"/>
            <w:tcBorders>
              <w:top w:val="single" w:sz="4" w:space="0" w:color="auto"/>
              <w:bottom w:val="single" w:sz="4" w:space="0" w:color="auto"/>
            </w:tcBorders>
            <w:shd w:val="clear" w:color="auto" w:fill="auto"/>
          </w:tcPr>
          <w:p w:rsidR="009D6867" w:rsidRPr="00EF4F29" w:rsidRDefault="009D6867" w:rsidP="00EF4F29">
            <w:pPr>
              <w:jc w:val="both"/>
            </w:pPr>
            <w:r>
              <w:t>3.1</w:t>
            </w:r>
          </w:p>
        </w:tc>
        <w:tc>
          <w:tcPr>
            <w:tcW w:w="5245" w:type="dxa"/>
            <w:shd w:val="clear" w:color="auto" w:fill="auto"/>
          </w:tcPr>
          <w:p w:rsidR="009D6867" w:rsidRPr="00EF4F29" w:rsidRDefault="009D6867" w:rsidP="009D6867">
            <w:pPr>
              <w:jc w:val="both"/>
            </w:pPr>
            <w:r w:rsidRPr="009D6867">
              <w:t xml:space="preserve">Внести (добавить) в приложение № 2.8 территориальной схемы обращения с отходами, в том числе с твердыми коммунальными отходами. Новосибирской области. Нахождение источников образования отходов «Объекты сферы общественного питания», на территории Болотнинского района </w:t>
            </w:r>
          </w:p>
        </w:tc>
        <w:tc>
          <w:tcPr>
            <w:tcW w:w="5670" w:type="dxa"/>
            <w:shd w:val="clear" w:color="auto" w:fill="auto"/>
          </w:tcPr>
          <w:p w:rsidR="009D6867" w:rsidRPr="0052312E" w:rsidRDefault="0052312E" w:rsidP="00EF4F29">
            <w:pPr>
              <w:widowControl w:val="0"/>
              <w:jc w:val="both"/>
            </w:pPr>
            <w:r>
              <w:t>УЧТЕНО</w:t>
            </w:r>
          </w:p>
        </w:tc>
      </w:tr>
      <w:tr w:rsidR="009D6867" w:rsidRPr="00EF4F29" w:rsidTr="00056215">
        <w:tc>
          <w:tcPr>
            <w:tcW w:w="534" w:type="dxa"/>
            <w:vMerge/>
            <w:tcBorders>
              <w:bottom w:val="single" w:sz="4" w:space="0" w:color="auto"/>
            </w:tcBorders>
          </w:tcPr>
          <w:p w:rsidR="009D6867" w:rsidRPr="00EF4F29" w:rsidRDefault="009D6867" w:rsidP="00EF4F29">
            <w:pPr>
              <w:jc w:val="both"/>
            </w:pPr>
          </w:p>
        </w:tc>
        <w:tc>
          <w:tcPr>
            <w:tcW w:w="2551" w:type="dxa"/>
            <w:vMerge/>
            <w:tcBorders>
              <w:bottom w:val="single" w:sz="4" w:space="0" w:color="auto"/>
            </w:tcBorders>
            <w:shd w:val="clear" w:color="auto" w:fill="auto"/>
          </w:tcPr>
          <w:p w:rsidR="009D6867" w:rsidRPr="00EF4F29" w:rsidRDefault="009D6867" w:rsidP="00EF4F29">
            <w:pPr>
              <w:jc w:val="both"/>
            </w:pPr>
          </w:p>
        </w:tc>
        <w:tc>
          <w:tcPr>
            <w:tcW w:w="992" w:type="dxa"/>
            <w:tcBorders>
              <w:top w:val="single" w:sz="4" w:space="0" w:color="auto"/>
            </w:tcBorders>
            <w:shd w:val="clear" w:color="auto" w:fill="auto"/>
          </w:tcPr>
          <w:p w:rsidR="009D6867" w:rsidRPr="00EF4F29" w:rsidRDefault="009D6867" w:rsidP="00EF4F29">
            <w:pPr>
              <w:jc w:val="both"/>
            </w:pPr>
            <w:r>
              <w:t>3.2.</w:t>
            </w:r>
          </w:p>
        </w:tc>
        <w:tc>
          <w:tcPr>
            <w:tcW w:w="5245" w:type="dxa"/>
            <w:shd w:val="clear" w:color="auto" w:fill="auto"/>
          </w:tcPr>
          <w:p w:rsidR="009D6867" w:rsidRPr="00EF4F29" w:rsidRDefault="009D6867" w:rsidP="009D1DD2">
            <w:pPr>
              <w:jc w:val="both"/>
            </w:pPr>
            <w:r w:rsidRPr="009D6867">
              <w:t>Внести изменения в приложение № 5 территориальной схемы обращения с отходами, в том числе с твердыми коммунальными отходами, Новосибирской области «Схема перспективных потоков твердых коммунальных отходов от источников образования отходов до объектов обработки и размещения твердых коммунальных отходов»</w:t>
            </w:r>
            <w:r w:rsidR="009D1DD2">
              <w:t xml:space="preserve"> (таблица прилагается)</w:t>
            </w:r>
          </w:p>
        </w:tc>
        <w:tc>
          <w:tcPr>
            <w:tcW w:w="5670" w:type="dxa"/>
            <w:shd w:val="clear" w:color="auto" w:fill="auto"/>
          </w:tcPr>
          <w:p w:rsidR="006B0892" w:rsidRDefault="006B0892" w:rsidP="006B0892">
            <w:pPr>
              <w:jc w:val="both"/>
            </w:pPr>
            <w:r>
              <w:t>НЕ УЧТЕНО</w:t>
            </w:r>
          </w:p>
          <w:p w:rsidR="009D6867" w:rsidRPr="009D1DD2" w:rsidRDefault="006B0892" w:rsidP="006B0892">
            <w:pPr>
              <w:jc w:val="both"/>
            </w:pPr>
            <w:r>
              <w:t>Предложения по изменению с</w:t>
            </w:r>
            <w:r w:rsidRPr="006B0892">
              <w:t>хем</w:t>
            </w:r>
            <w:r>
              <w:t>ы</w:t>
            </w:r>
            <w:r w:rsidRPr="006B0892">
              <w:t xml:space="preserve"> перспективных потоков твердых коммунальных отходов </w:t>
            </w:r>
            <w:r>
              <w:t>будут рассмотрены при последующей корректировке территориальной схемы, в связи с тем, что данный вопрос требует детальной проработки и расчета затрат на транспортирование</w:t>
            </w:r>
          </w:p>
        </w:tc>
      </w:tr>
      <w:tr w:rsidR="00262911" w:rsidRPr="00EF4F29" w:rsidTr="00056215">
        <w:tc>
          <w:tcPr>
            <w:tcW w:w="534" w:type="dxa"/>
            <w:vMerge w:val="restart"/>
            <w:tcBorders>
              <w:top w:val="single" w:sz="4" w:space="0" w:color="auto"/>
            </w:tcBorders>
          </w:tcPr>
          <w:p w:rsidR="00262911" w:rsidRPr="00EF4F29" w:rsidRDefault="00262911" w:rsidP="00EF4F29">
            <w:pPr>
              <w:jc w:val="both"/>
            </w:pPr>
            <w:r>
              <w:t>4</w:t>
            </w:r>
          </w:p>
        </w:tc>
        <w:tc>
          <w:tcPr>
            <w:tcW w:w="2551" w:type="dxa"/>
            <w:vMerge w:val="restart"/>
            <w:tcBorders>
              <w:top w:val="single" w:sz="4" w:space="0" w:color="auto"/>
            </w:tcBorders>
            <w:shd w:val="clear" w:color="auto" w:fill="auto"/>
          </w:tcPr>
          <w:p w:rsidR="00262911" w:rsidRPr="00EF4F29" w:rsidRDefault="00262911" w:rsidP="00EF4F29">
            <w:pPr>
              <w:jc w:val="both"/>
            </w:pPr>
            <w:r>
              <w:t xml:space="preserve">Администрация Тогучинского района Новосибирской области </w:t>
            </w:r>
          </w:p>
        </w:tc>
        <w:tc>
          <w:tcPr>
            <w:tcW w:w="992" w:type="dxa"/>
            <w:tcBorders>
              <w:bottom w:val="single" w:sz="4" w:space="0" w:color="auto"/>
            </w:tcBorders>
            <w:shd w:val="clear" w:color="auto" w:fill="auto"/>
          </w:tcPr>
          <w:p w:rsidR="00262911" w:rsidRPr="00EF4F29" w:rsidRDefault="00262911" w:rsidP="00EF4F29">
            <w:pPr>
              <w:jc w:val="both"/>
            </w:pPr>
            <w:r>
              <w:t>4.1</w:t>
            </w:r>
          </w:p>
        </w:tc>
        <w:tc>
          <w:tcPr>
            <w:tcW w:w="5245" w:type="dxa"/>
            <w:shd w:val="clear" w:color="auto" w:fill="auto"/>
          </w:tcPr>
          <w:p w:rsidR="00262911" w:rsidRPr="00EF4F29" w:rsidRDefault="00262911" w:rsidP="00EF4F29">
            <w:pPr>
              <w:jc w:val="both"/>
            </w:pPr>
            <w:r w:rsidRPr="007A58ED">
              <w:t xml:space="preserve">в приложении 2 ч.3 предприятия торговли: магазин «домашний мастер» по ул. Островского 9а, магазин «Мясо» по ул. Островского 9 отсутствуют, по данному адресу расположен торговый центр «Ладья» Тогучинского ПО, в котором расположены магазины «Ярче», «Магнит косметик», аптека, 3 салона сотовой связи (МТС, ТЕЛЕ2, Мегафон) и ряд ИП. Магазин Казутиной В.А. по ул. Островского б/н </w:t>
            </w:r>
            <w:r w:rsidRPr="007A58ED">
              <w:lastRenderedPageBreak/>
              <w:t xml:space="preserve">отсутствует в данном разделе не указаны крупные торговые предприятия как Мария-Ра, Магнит, Пятерочка. (список торговых предприятий, мест общественного питания, АЗС прилагается приложение №1) Для внесения </w:t>
            </w:r>
            <w:r w:rsidR="001278A5">
              <w:t>корректировки в тер.схему в при</w:t>
            </w:r>
            <w:r w:rsidRPr="007A58ED">
              <w:t>ложение 2 ч.3ч.8,</w:t>
            </w:r>
          </w:p>
        </w:tc>
        <w:tc>
          <w:tcPr>
            <w:tcW w:w="5670" w:type="dxa"/>
            <w:shd w:val="clear" w:color="auto" w:fill="auto"/>
          </w:tcPr>
          <w:p w:rsidR="00262911" w:rsidRPr="00EF4F29" w:rsidRDefault="0052312E" w:rsidP="00795799">
            <w:pPr>
              <w:jc w:val="both"/>
            </w:pPr>
            <w:r>
              <w:lastRenderedPageBreak/>
              <w:t>УЧТЕНО</w:t>
            </w:r>
          </w:p>
        </w:tc>
      </w:tr>
      <w:tr w:rsidR="00262911" w:rsidRPr="00EF4F29" w:rsidTr="00056215">
        <w:tc>
          <w:tcPr>
            <w:tcW w:w="534" w:type="dxa"/>
            <w:vMerge/>
          </w:tcPr>
          <w:p w:rsidR="00262911" w:rsidRPr="00EF4F29" w:rsidRDefault="00262911" w:rsidP="00EF4F29">
            <w:pPr>
              <w:jc w:val="both"/>
            </w:pPr>
          </w:p>
        </w:tc>
        <w:tc>
          <w:tcPr>
            <w:tcW w:w="2551" w:type="dxa"/>
            <w:vMerge/>
            <w:shd w:val="clear" w:color="auto" w:fill="auto"/>
          </w:tcPr>
          <w:p w:rsidR="00262911" w:rsidRPr="00EF4F29" w:rsidRDefault="00262911" w:rsidP="00EF4F29">
            <w:pPr>
              <w:jc w:val="both"/>
            </w:pPr>
          </w:p>
        </w:tc>
        <w:tc>
          <w:tcPr>
            <w:tcW w:w="992" w:type="dxa"/>
            <w:tcBorders>
              <w:top w:val="single" w:sz="4" w:space="0" w:color="auto"/>
              <w:bottom w:val="single" w:sz="4" w:space="0" w:color="auto"/>
            </w:tcBorders>
            <w:shd w:val="clear" w:color="auto" w:fill="auto"/>
          </w:tcPr>
          <w:p w:rsidR="00262911" w:rsidRPr="00EF4F29" w:rsidRDefault="00262911" w:rsidP="00EF4F29">
            <w:pPr>
              <w:jc w:val="both"/>
            </w:pPr>
            <w:r>
              <w:t>4.2</w:t>
            </w:r>
          </w:p>
        </w:tc>
        <w:tc>
          <w:tcPr>
            <w:tcW w:w="5245" w:type="dxa"/>
            <w:shd w:val="clear" w:color="auto" w:fill="auto"/>
          </w:tcPr>
          <w:p w:rsidR="00262911" w:rsidRPr="002215A9" w:rsidRDefault="00262911" w:rsidP="00262911">
            <w:pPr>
              <w:adjustRightInd w:val="0"/>
              <w:jc w:val="both"/>
              <w:rPr>
                <w:szCs w:val="28"/>
              </w:rPr>
            </w:pPr>
            <w:r w:rsidRPr="002215A9">
              <w:rPr>
                <w:szCs w:val="28"/>
              </w:rPr>
              <w:t>В приложении 2 ч.9 отс</w:t>
            </w:r>
            <w:r>
              <w:rPr>
                <w:szCs w:val="28"/>
              </w:rPr>
              <w:t xml:space="preserve">утствует перечень садоводческих </w:t>
            </w:r>
            <w:r w:rsidRPr="002215A9">
              <w:rPr>
                <w:szCs w:val="28"/>
              </w:rPr>
              <w:t xml:space="preserve">товариществ расположенных на территории Тогучинского района </w:t>
            </w:r>
            <w:r>
              <w:rPr>
                <w:szCs w:val="28"/>
              </w:rPr>
              <w:t>(перечень прилагается приложение №3)</w:t>
            </w:r>
          </w:p>
          <w:p w:rsidR="00262911" w:rsidRPr="00EF4F29" w:rsidRDefault="00262911" w:rsidP="00EF4F29">
            <w:pPr>
              <w:jc w:val="both"/>
            </w:pPr>
          </w:p>
        </w:tc>
        <w:tc>
          <w:tcPr>
            <w:tcW w:w="5670" w:type="dxa"/>
            <w:shd w:val="clear" w:color="auto" w:fill="auto"/>
          </w:tcPr>
          <w:p w:rsidR="00262911" w:rsidRPr="00EF4F29" w:rsidRDefault="0052312E" w:rsidP="00EF4F29">
            <w:pPr>
              <w:autoSpaceDE w:val="0"/>
              <w:autoSpaceDN w:val="0"/>
              <w:adjustRightInd w:val="0"/>
              <w:jc w:val="both"/>
            </w:pPr>
            <w:r>
              <w:t>УЧТЕНО</w:t>
            </w:r>
          </w:p>
        </w:tc>
      </w:tr>
      <w:tr w:rsidR="00262911" w:rsidRPr="00EF4F29" w:rsidTr="00056215">
        <w:trPr>
          <w:trHeight w:val="62"/>
        </w:trPr>
        <w:tc>
          <w:tcPr>
            <w:tcW w:w="534" w:type="dxa"/>
            <w:vMerge/>
          </w:tcPr>
          <w:p w:rsidR="00262911" w:rsidRPr="00EF4F29" w:rsidRDefault="00262911" w:rsidP="00EF4F29">
            <w:pPr>
              <w:jc w:val="both"/>
            </w:pPr>
          </w:p>
        </w:tc>
        <w:tc>
          <w:tcPr>
            <w:tcW w:w="2551" w:type="dxa"/>
            <w:vMerge/>
            <w:shd w:val="clear" w:color="auto" w:fill="auto"/>
          </w:tcPr>
          <w:p w:rsidR="00262911" w:rsidRPr="00EF4F29" w:rsidRDefault="00262911" w:rsidP="00EF4F29">
            <w:pPr>
              <w:jc w:val="both"/>
            </w:pPr>
          </w:p>
        </w:tc>
        <w:tc>
          <w:tcPr>
            <w:tcW w:w="992" w:type="dxa"/>
            <w:tcBorders>
              <w:top w:val="single" w:sz="4" w:space="0" w:color="auto"/>
              <w:bottom w:val="single" w:sz="4" w:space="0" w:color="auto"/>
            </w:tcBorders>
            <w:shd w:val="clear" w:color="auto" w:fill="auto"/>
          </w:tcPr>
          <w:p w:rsidR="00262911" w:rsidRPr="00EF4F29" w:rsidRDefault="00262911" w:rsidP="00EF4F29">
            <w:pPr>
              <w:jc w:val="both"/>
            </w:pPr>
            <w:r>
              <w:t>4.3.</w:t>
            </w:r>
          </w:p>
        </w:tc>
        <w:tc>
          <w:tcPr>
            <w:tcW w:w="5245" w:type="dxa"/>
            <w:shd w:val="clear" w:color="auto" w:fill="auto"/>
          </w:tcPr>
          <w:p w:rsidR="00262911" w:rsidRPr="00EF4F29" w:rsidRDefault="00262911" w:rsidP="00EF4F29">
            <w:pPr>
              <w:jc w:val="both"/>
            </w:pPr>
            <w:r>
              <w:rPr>
                <w:szCs w:val="28"/>
              </w:rPr>
              <w:t xml:space="preserve">В приложении 2 ч.5 отсутствует перечень предприятий образующих строительные материалы </w:t>
            </w:r>
            <w:r w:rsidRPr="002215A9">
              <w:rPr>
                <w:szCs w:val="28"/>
              </w:rPr>
              <w:t xml:space="preserve">расположенных на территории Тогучинского района </w:t>
            </w:r>
            <w:r>
              <w:rPr>
                <w:szCs w:val="28"/>
              </w:rPr>
              <w:t>(перечень прилагается приложение №</w:t>
            </w:r>
            <w:r w:rsidR="0052312E">
              <w:rPr>
                <w:szCs w:val="28"/>
              </w:rPr>
              <w:t xml:space="preserve"> </w:t>
            </w:r>
            <w:r>
              <w:rPr>
                <w:szCs w:val="28"/>
              </w:rPr>
              <w:t>2)</w:t>
            </w:r>
          </w:p>
        </w:tc>
        <w:tc>
          <w:tcPr>
            <w:tcW w:w="5670" w:type="dxa"/>
            <w:shd w:val="clear" w:color="auto" w:fill="auto"/>
          </w:tcPr>
          <w:p w:rsidR="00262911" w:rsidRPr="00EF4F29" w:rsidRDefault="0052312E" w:rsidP="00EF4F29">
            <w:pPr>
              <w:jc w:val="both"/>
            </w:pPr>
            <w:r>
              <w:t>УЧТЕНО</w:t>
            </w:r>
          </w:p>
        </w:tc>
      </w:tr>
      <w:tr w:rsidR="00FB1BBB" w:rsidRPr="00EF4F29" w:rsidTr="00AB0584">
        <w:tc>
          <w:tcPr>
            <w:tcW w:w="534" w:type="dxa"/>
            <w:tcBorders>
              <w:bottom w:val="single" w:sz="4" w:space="0" w:color="auto"/>
            </w:tcBorders>
            <w:shd w:val="clear" w:color="auto" w:fill="auto"/>
          </w:tcPr>
          <w:p w:rsidR="00FB1BBB" w:rsidRPr="00EF4F29" w:rsidRDefault="00262911" w:rsidP="00EF4F29">
            <w:pPr>
              <w:jc w:val="both"/>
            </w:pPr>
            <w:r>
              <w:t>5</w:t>
            </w:r>
          </w:p>
        </w:tc>
        <w:tc>
          <w:tcPr>
            <w:tcW w:w="2551" w:type="dxa"/>
            <w:tcBorders>
              <w:bottom w:val="single" w:sz="4" w:space="0" w:color="auto"/>
            </w:tcBorders>
            <w:shd w:val="clear" w:color="auto" w:fill="auto"/>
          </w:tcPr>
          <w:p w:rsidR="00FB1BBB" w:rsidRPr="00EF4F29" w:rsidRDefault="00262911" w:rsidP="00EF4F29">
            <w:pPr>
              <w:jc w:val="both"/>
            </w:pPr>
            <w:r>
              <w:t>Администрация Мошковского района Новосибирской области (вх.544/86 от 07.02.2020)</w:t>
            </w:r>
          </w:p>
        </w:tc>
        <w:tc>
          <w:tcPr>
            <w:tcW w:w="992" w:type="dxa"/>
            <w:tcBorders>
              <w:top w:val="single" w:sz="4" w:space="0" w:color="auto"/>
              <w:bottom w:val="single" w:sz="4" w:space="0" w:color="auto"/>
            </w:tcBorders>
            <w:shd w:val="clear" w:color="auto" w:fill="auto"/>
          </w:tcPr>
          <w:p w:rsidR="00FB1BBB" w:rsidRPr="00EF4F29" w:rsidRDefault="00C44E81" w:rsidP="00EF4F29">
            <w:pPr>
              <w:jc w:val="both"/>
            </w:pPr>
            <w:r>
              <w:t>5.1</w:t>
            </w:r>
          </w:p>
        </w:tc>
        <w:tc>
          <w:tcPr>
            <w:tcW w:w="5245" w:type="dxa"/>
            <w:shd w:val="clear" w:color="auto" w:fill="auto"/>
          </w:tcPr>
          <w:p w:rsidR="00FB1BBB" w:rsidRPr="00EF4F29" w:rsidRDefault="00262911" w:rsidP="00EF4F29">
            <w:pPr>
              <w:jc w:val="both"/>
            </w:pPr>
            <w:r>
              <w:t xml:space="preserve">Заменить в таблице 14.1 «планируемое местоположение площадок временного накопления твердых коммунальных отходов» в п. 76 площадку временного накопления отходов в с. Ташара Мошковского района(54:18:080401:528, площадью 3 га) на площадку временного накопления отходов в с. Сокур Мошковского района (54:18:020401:3353, площадью 5,7 га) </w:t>
            </w:r>
          </w:p>
        </w:tc>
        <w:tc>
          <w:tcPr>
            <w:tcW w:w="5670" w:type="dxa"/>
            <w:shd w:val="clear" w:color="auto" w:fill="auto"/>
          </w:tcPr>
          <w:p w:rsidR="00FB1BBB" w:rsidRPr="0052312E" w:rsidRDefault="006B0892" w:rsidP="00F75DF6">
            <w:pPr>
              <w:jc w:val="both"/>
              <w:rPr>
                <w:b/>
              </w:rPr>
            </w:pPr>
            <w:r w:rsidRPr="006B0892">
              <w:t xml:space="preserve">Предложенные изменения </w:t>
            </w:r>
            <w:r w:rsidR="007321F5">
              <w:t xml:space="preserve">уже были </w:t>
            </w:r>
            <w:r w:rsidRPr="006B0892">
              <w:t>внесены после общественного обсуждения проекта территориальной схемы по обращению с отходами, в том числе с твердыми коммунальными отходами, Новосибирской области, проходившего с 23 декабря 2019 года по 23 января 2020 года.</w:t>
            </w:r>
          </w:p>
        </w:tc>
      </w:tr>
      <w:tr w:rsidR="00EF4F29" w:rsidRPr="00EF4F29" w:rsidTr="00613B67">
        <w:tc>
          <w:tcPr>
            <w:tcW w:w="534" w:type="dxa"/>
            <w:vMerge w:val="restart"/>
            <w:tcBorders>
              <w:top w:val="single" w:sz="4" w:space="0" w:color="auto"/>
            </w:tcBorders>
            <w:shd w:val="clear" w:color="auto" w:fill="auto"/>
          </w:tcPr>
          <w:p w:rsidR="00EF4F29" w:rsidRPr="00EF4F29" w:rsidRDefault="00262911" w:rsidP="00EF4F29">
            <w:pPr>
              <w:jc w:val="both"/>
            </w:pPr>
            <w:r>
              <w:t>6</w:t>
            </w:r>
          </w:p>
        </w:tc>
        <w:tc>
          <w:tcPr>
            <w:tcW w:w="2551" w:type="dxa"/>
            <w:vMerge w:val="restart"/>
            <w:tcBorders>
              <w:top w:val="single" w:sz="4" w:space="0" w:color="auto"/>
            </w:tcBorders>
            <w:shd w:val="clear" w:color="auto" w:fill="auto"/>
          </w:tcPr>
          <w:p w:rsidR="00EF4F29" w:rsidRPr="00EF4F29" w:rsidRDefault="00C44E81" w:rsidP="00EF4F29">
            <w:pPr>
              <w:jc w:val="both"/>
            </w:pPr>
            <w:r>
              <w:t xml:space="preserve">Администрация Северного района </w:t>
            </w:r>
            <w:r>
              <w:lastRenderedPageBreak/>
              <w:t xml:space="preserve">Новосибирской области </w:t>
            </w:r>
          </w:p>
        </w:tc>
        <w:tc>
          <w:tcPr>
            <w:tcW w:w="992" w:type="dxa"/>
            <w:tcBorders>
              <w:top w:val="single" w:sz="4" w:space="0" w:color="auto"/>
              <w:bottom w:val="single" w:sz="4" w:space="0" w:color="auto"/>
            </w:tcBorders>
            <w:shd w:val="clear" w:color="auto" w:fill="auto"/>
          </w:tcPr>
          <w:p w:rsidR="00EF4F29" w:rsidRPr="00EF4F29" w:rsidRDefault="00C44E81" w:rsidP="00EF4F29">
            <w:pPr>
              <w:jc w:val="both"/>
            </w:pPr>
            <w:r>
              <w:lastRenderedPageBreak/>
              <w:t>6.1</w:t>
            </w:r>
          </w:p>
        </w:tc>
        <w:tc>
          <w:tcPr>
            <w:tcW w:w="5245" w:type="dxa"/>
            <w:shd w:val="clear" w:color="auto" w:fill="auto"/>
          </w:tcPr>
          <w:p w:rsidR="00EF4F29" w:rsidRPr="00EF4F29" w:rsidRDefault="00C44E81" w:rsidP="00EF4F29">
            <w:pPr>
              <w:jc w:val="both"/>
            </w:pPr>
            <w:r w:rsidRPr="00C44E81">
              <w:t xml:space="preserve">В разделе 12.5.2. Северный район слова «В переходный период до строительства и ввода в эксплуатацию площадок временного накопления </w:t>
            </w:r>
            <w:r w:rsidRPr="00C44E81">
              <w:lastRenderedPageBreak/>
              <w:t>действует схема, при которой ТКО, образующиеся на территории Северного района, транспортируются на объект размещения, расположенный вблизи с. Северного.» заменить словами «В переходный период до ввода в эксплуатацию после реконструкции комплексного полигона ТКО, располагающегося вблизи с. Северное, действует схема, при которой ТКО, образующиеся на территории Северного района, транспортируются на площадку временного накопления ТКО, расположенная на 4 километре от с. Северного по левой стороне автодороги с.Северное - г.Куйбышев Северного района Новосибирской области на земельном (земельных) участке с кадастровым номером: 54:21:023901:595 (место бывшей свалки в с.</w:t>
            </w:r>
            <w:r w:rsidR="00AF62AA">
              <w:t xml:space="preserve"> </w:t>
            </w:r>
            <w:r w:rsidRPr="00C44E81">
              <w:t>Северное).»</w:t>
            </w:r>
          </w:p>
        </w:tc>
        <w:tc>
          <w:tcPr>
            <w:tcW w:w="5670" w:type="dxa"/>
            <w:shd w:val="clear" w:color="auto" w:fill="auto"/>
          </w:tcPr>
          <w:p w:rsidR="00C85488" w:rsidRDefault="00C85488" w:rsidP="00C85488">
            <w:pPr>
              <w:jc w:val="both"/>
            </w:pPr>
            <w:r>
              <w:lastRenderedPageBreak/>
              <w:t>НЕ УЧТЕНО</w:t>
            </w:r>
          </w:p>
          <w:p w:rsidR="0070181F" w:rsidRPr="00EF4F29" w:rsidRDefault="007321F5" w:rsidP="00863E1D">
            <w:pPr>
              <w:jc w:val="both"/>
            </w:pPr>
            <w:r>
              <w:t xml:space="preserve">В соответствии с проектом территориальной схемы ТКО транспортируется и размещаются на полигоне </w:t>
            </w:r>
            <w:r>
              <w:lastRenderedPageBreak/>
              <w:t xml:space="preserve">вблизи с Северное, данный объект отражен </w:t>
            </w:r>
            <w:r w:rsidR="00863E1D">
              <w:t>в Приложении</w:t>
            </w:r>
            <w:r>
              <w:t xml:space="preserve"> № 4.5 </w:t>
            </w:r>
            <w:r w:rsidR="00863E1D">
              <w:t>«</w:t>
            </w:r>
            <w:r>
              <w:t>Объекты не ГРОРО ТКО с тарифом</w:t>
            </w:r>
            <w:r w:rsidR="00863E1D">
              <w:t xml:space="preserve">» таблица» </w:t>
            </w:r>
            <w:r>
              <w:t>Сведения об объектах размещения ТКО Новосибирской области, не включенных в ГРОРО (установлен тариф на размещение отходов)</w:t>
            </w:r>
            <w:r w:rsidR="00863E1D">
              <w:t xml:space="preserve">» - </w:t>
            </w:r>
            <w:r w:rsidR="00863E1D" w:rsidRPr="00863E1D">
              <w:t>объект Северный район с. Северное</w:t>
            </w:r>
            <w:r w:rsidR="00863E1D">
              <w:t xml:space="preserve"> , который </w:t>
            </w:r>
            <w:r>
              <w:t>имеет статус ОРО, а не ПВН</w:t>
            </w:r>
            <w:r w:rsidR="00863E1D">
              <w:t>.</w:t>
            </w:r>
          </w:p>
        </w:tc>
      </w:tr>
      <w:tr w:rsidR="00EF4F29" w:rsidRPr="00EF4F29" w:rsidTr="0020023C">
        <w:tc>
          <w:tcPr>
            <w:tcW w:w="534" w:type="dxa"/>
            <w:vMerge/>
          </w:tcPr>
          <w:p w:rsidR="00EF4F29" w:rsidRPr="00EF4F29" w:rsidRDefault="00EF4F29" w:rsidP="00EF4F29">
            <w:pPr>
              <w:jc w:val="both"/>
            </w:pPr>
          </w:p>
        </w:tc>
        <w:tc>
          <w:tcPr>
            <w:tcW w:w="2551" w:type="dxa"/>
            <w:vMerge/>
          </w:tcPr>
          <w:p w:rsidR="00EF4F29" w:rsidRPr="00EF4F29" w:rsidRDefault="00EF4F29" w:rsidP="00EF4F29">
            <w:pPr>
              <w:jc w:val="both"/>
            </w:pPr>
          </w:p>
        </w:tc>
        <w:tc>
          <w:tcPr>
            <w:tcW w:w="992" w:type="dxa"/>
            <w:tcBorders>
              <w:top w:val="single" w:sz="4" w:space="0" w:color="auto"/>
              <w:bottom w:val="single" w:sz="4" w:space="0" w:color="auto"/>
            </w:tcBorders>
            <w:shd w:val="clear" w:color="auto" w:fill="auto"/>
          </w:tcPr>
          <w:p w:rsidR="00C44E81" w:rsidRPr="00EF4F29" w:rsidRDefault="00C44E81" w:rsidP="00EF4F29">
            <w:pPr>
              <w:jc w:val="both"/>
            </w:pPr>
            <w:r>
              <w:t>6.2</w:t>
            </w:r>
          </w:p>
        </w:tc>
        <w:tc>
          <w:tcPr>
            <w:tcW w:w="5245" w:type="dxa"/>
            <w:shd w:val="clear" w:color="auto" w:fill="auto"/>
          </w:tcPr>
          <w:p w:rsidR="00EF4F29" w:rsidRPr="00EF4F29" w:rsidRDefault="00C44E81" w:rsidP="00EF4F29">
            <w:pPr>
              <w:jc w:val="both"/>
            </w:pPr>
            <w:r w:rsidRPr="00C44E81">
              <w:t>Слова «Отходы по завершении каждого из маршрутов выгружаются непосредственно на территорию комплексного полигона вблизи с. Северного.» заменить словами «Отходы по завершении каждого из маршрутов выгружаются непосредственно на территорию на площадки временного накопления ТКО вблизи с. Северного.»</w:t>
            </w:r>
          </w:p>
        </w:tc>
        <w:tc>
          <w:tcPr>
            <w:tcW w:w="5670" w:type="dxa"/>
            <w:shd w:val="clear" w:color="auto" w:fill="auto"/>
          </w:tcPr>
          <w:p w:rsidR="00045FF0" w:rsidRDefault="00045FF0" w:rsidP="00EF4F29">
            <w:pPr>
              <w:jc w:val="both"/>
            </w:pPr>
            <w:r>
              <w:t>НЕ УЧТЕНО</w:t>
            </w:r>
          </w:p>
          <w:p w:rsidR="00EF4F29" w:rsidRPr="00EF4F29" w:rsidRDefault="00AF62AA" w:rsidP="00EF4F29">
            <w:pPr>
              <w:jc w:val="both"/>
            </w:pPr>
            <w:r>
              <w:t>См. пояснения к замечанию № 6.1</w:t>
            </w:r>
          </w:p>
        </w:tc>
      </w:tr>
      <w:tr w:rsidR="00EF4F29" w:rsidRPr="00EF4F29" w:rsidTr="00C87053">
        <w:tc>
          <w:tcPr>
            <w:tcW w:w="534" w:type="dxa"/>
            <w:vMerge/>
            <w:shd w:val="clear" w:color="auto" w:fill="auto"/>
          </w:tcPr>
          <w:p w:rsidR="00EF4F29" w:rsidRPr="00EF4F29" w:rsidRDefault="00EF4F29" w:rsidP="00EF4F29">
            <w:pPr>
              <w:jc w:val="both"/>
            </w:pPr>
          </w:p>
        </w:tc>
        <w:tc>
          <w:tcPr>
            <w:tcW w:w="2551" w:type="dxa"/>
            <w:vMerge/>
            <w:shd w:val="clear" w:color="auto" w:fill="auto"/>
          </w:tcPr>
          <w:p w:rsidR="00EF4F29" w:rsidRPr="00EF4F29" w:rsidRDefault="00EF4F29" w:rsidP="00EF4F29">
            <w:pPr>
              <w:jc w:val="both"/>
            </w:pPr>
          </w:p>
        </w:tc>
        <w:tc>
          <w:tcPr>
            <w:tcW w:w="992" w:type="dxa"/>
            <w:tcBorders>
              <w:top w:val="single" w:sz="4" w:space="0" w:color="auto"/>
              <w:bottom w:val="single" w:sz="4" w:space="0" w:color="auto"/>
            </w:tcBorders>
            <w:shd w:val="clear" w:color="auto" w:fill="auto"/>
          </w:tcPr>
          <w:p w:rsidR="00EF4F29" w:rsidRPr="00EF4F29" w:rsidRDefault="00C44E81" w:rsidP="00EF4F29">
            <w:pPr>
              <w:jc w:val="both"/>
            </w:pPr>
            <w:r>
              <w:t>6.3</w:t>
            </w:r>
          </w:p>
        </w:tc>
        <w:tc>
          <w:tcPr>
            <w:tcW w:w="5245" w:type="dxa"/>
            <w:shd w:val="clear" w:color="auto" w:fill="auto"/>
          </w:tcPr>
          <w:p w:rsidR="00EF4F29" w:rsidRPr="00EF4F29" w:rsidRDefault="00C44E81" w:rsidP="00EF4F29">
            <w:pPr>
              <w:jc w:val="both"/>
            </w:pPr>
            <w:r w:rsidRPr="00C44E81">
              <w:t xml:space="preserve">В перечне источников документации территориального планирования муниципальных районов, размещенных в свободном доступе слова пункта 21 «Северный </w:t>
            </w:r>
            <w:r w:rsidR="00C85488">
              <w:lastRenderedPageBreak/>
              <w:t>район http://www.severnii.ru/»</w:t>
            </w:r>
            <w:r w:rsidRPr="00C44E81">
              <w:t xml:space="preserve"> заменить на слова «Северный район http://severnoe.nso.ru/page/62».</w:t>
            </w:r>
          </w:p>
        </w:tc>
        <w:tc>
          <w:tcPr>
            <w:tcW w:w="5670" w:type="dxa"/>
            <w:shd w:val="clear" w:color="auto" w:fill="auto"/>
          </w:tcPr>
          <w:p w:rsidR="00EF4F29" w:rsidRPr="003558A0" w:rsidRDefault="003558A0" w:rsidP="00EF4F29">
            <w:pPr>
              <w:jc w:val="both"/>
            </w:pPr>
            <w:r w:rsidRPr="003558A0">
              <w:lastRenderedPageBreak/>
              <w:t>УЧТЕНО</w:t>
            </w:r>
          </w:p>
        </w:tc>
      </w:tr>
      <w:tr w:rsidR="00EF4F29" w:rsidRPr="00EF4F29" w:rsidTr="00C87053">
        <w:trPr>
          <w:trHeight w:val="4566"/>
        </w:trPr>
        <w:tc>
          <w:tcPr>
            <w:tcW w:w="534" w:type="dxa"/>
            <w:vMerge/>
            <w:tcBorders>
              <w:bottom w:val="single" w:sz="4" w:space="0" w:color="auto"/>
            </w:tcBorders>
            <w:shd w:val="clear" w:color="auto" w:fill="auto"/>
          </w:tcPr>
          <w:p w:rsidR="00EF4F29" w:rsidRPr="00EF4F29" w:rsidRDefault="00EF4F29" w:rsidP="00EF4F29">
            <w:pPr>
              <w:jc w:val="both"/>
            </w:pPr>
          </w:p>
        </w:tc>
        <w:tc>
          <w:tcPr>
            <w:tcW w:w="2551" w:type="dxa"/>
            <w:vMerge/>
            <w:tcBorders>
              <w:bottom w:val="single" w:sz="4" w:space="0" w:color="auto"/>
            </w:tcBorders>
            <w:shd w:val="clear" w:color="auto" w:fill="auto"/>
          </w:tcPr>
          <w:p w:rsidR="00EF4F29" w:rsidRPr="00EF4F29" w:rsidRDefault="00EF4F29" w:rsidP="00EF4F29">
            <w:pPr>
              <w:jc w:val="both"/>
            </w:pPr>
          </w:p>
        </w:tc>
        <w:tc>
          <w:tcPr>
            <w:tcW w:w="992" w:type="dxa"/>
            <w:tcBorders>
              <w:top w:val="single" w:sz="4" w:space="0" w:color="auto"/>
              <w:bottom w:val="single" w:sz="4" w:space="0" w:color="auto"/>
            </w:tcBorders>
            <w:shd w:val="clear" w:color="auto" w:fill="auto"/>
          </w:tcPr>
          <w:p w:rsidR="00EF4F29" w:rsidRPr="00EF4F29" w:rsidRDefault="00C44E81" w:rsidP="00EF4F29">
            <w:pPr>
              <w:jc w:val="both"/>
            </w:pPr>
            <w:r>
              <w:t>6.4</w:t>
            </w:r>
          </w:p>
        </w:tc>
        <w:tc>
          <w:tcPr>
            <w:tcW w:w="5245" w:type="dxa"/>
            <w:shd w:val="clear" w:color="auto" w:fill="auto"/>
          </w:tcPr>
          <w:p w:rsidR="00EF4F29" w:rsidRPr="00EF4F29" w:rsidRDefault="00C44E81" w:rsidP="00EF4F29">
            <w:pPr>
              <w:jc w:val="both"/>
            </w:pPr>
            <w:r w:rsidRPr="00C44E81">
              <w:t>В таблице 14.1 – Планируемое местоположение площадок временного накопления твердых коммунальных отходов строку № 29 исключить, т.к. площадка временного накопления отходов в с. Биаза не предусматривалась, и не оформлялась. Каждый маршрут будет завершаться выгрузкой отходов на вышеуказанной площадке в с.Северное.</w:t>
            </w:r>
          </w:p>
        </w:tc>
        <w:tc>
          <w:tcPr>
            <w:tcW w:w="5670" w:type="dxa"/>
            <w:shd w:val="clear" w:color="auto" w:fill="auto"/>
          </w:tcPr>
          <w:p w:rsidR="007321F5" w:rsidRDefault="007321F5" w:rsidP="007321F5">
            <w:pPr>
              <w:jc w:val="both"/>
            </w:pPr>
            <w:r>
              <w:t>НЕ УЧТЕНО</w:t>
            </w:r>
          </w:p>
          <w:p w:rsidR="00DC67AF" w:rsidRDefault="007321F5" w:rsidP="007321F5">
            <w:pPr>
              <w:jc w:val="both"/>
            </w:pPr>
            <w:r>
              <w:t>Предложения по изменению схемы перспективных потоков твердых коммунальных отходов будут рассмотрены при последующей корректировке территориальной схемы, в связи с тем, что данный вопрос требует детальной проработки и расчета затрат на транспортирование</w:t>
            </w:r>
          </w:p>
          <w:p w:rsidR="0052312E" w:rsidRPr="0052312E" w:rsidRDefault="0052312E" w:rsidP="00EF4F29">
            <w:pPr>
              <w:jc w:val="both"/>
              <w:rPr>
                <w:i/>
              </w:rPr>
            </w:pPr>
          </w:p>
        </w:tc>
      </w:tr>
      <w:tr w:rsidR="003558A0" w:rsidRPr="00EF4F29" w:rsidTr="004A02BC">
        <w:tc>
          <w:tcPr>
            <w:tcW w:w="534" w:type="dxa"/>
            <w:vMerge w:val="restart"/>
            <w:tcBorders>
              <w:top w:val="single" w:sz="4" w:space="0" w:color="auto"/>
            </w:tcBorders>
            <w:shd w:val="clear" w:color="auto" w:fill="auto"/>
          </w:tcPr>
          <w:p w:rsidR="003558A0" w:rsidRPr="00EF4F29" w:rsidRDefault="003558A0" w:rsidP="00EF4F29">
            <w:pPr>
              <w:jc w:val="both"/>
            </w:pPr>
          </w:p>
        </w:tc>
        <w:tc>
          <w:tcPr>
            <w:tcW w:w="2551" w:type="dxa"/>
            <w:vMerge w:val="restart"/>
            <w:tcBorders>
              <w:top w:val="single" w:sz="4" w:space="0" w:color="auto"/>
            </w:tcBorders>
            <w:shd w:val="clear" w:color="auto" w:fill="auto"/>
          </w:tcPr>
          <w:p w:rsidR="003558A0" w:rsidRPr="00EF4F29" w:rsidRDefault="003558A0" w:rsidP="00EF4F29">
            <w:pPr>
              <w:jc w:val="both"/>
            </w:pPr>
          </w:p>
        </w:tc>
        <w:tc>
          <w:tcPr>
            <w:tcW w:w="992" w:type="dxa"/>
            <w:tcBorders>
              <w:top w:val="single" w:sz="4" w:space="0" w:color="auto"/>
              <w:bottom w:val="single" w:sz="4" w:space="0" w:color="auto"/>
            </w:tcBorders>
            <w:shd w:val="clear" w:color="auto" w:fill="auto"/>
          </w:tcPr>
          <w:p w:rsidR="003558A0" w:rsidRPr="00EF4F29" w:rsidRDefault="003558A0" w:rsidP="00EF4F29">
            <w:pPr>
              <w:jc w:val="both"/>
            </w:pPr>
            <w:r>
              <w:t>6.5</w:t>
            </w:r>
          </w:p>
        </w:tc>
        <w:tc>
          <w:tcPr>
            <w:tcW w:w="5245" w:type="dxa"/>
            <w:shd w:val="clear" w:color="auto" w:fill="auto"/>
          </w:tcPr>
          <w:p w:rsidR="00290BBF" w:rsidRPr="00EF4F29" w:rsidRDefault="003558A0" w:rsidP="001821EF">
            <w:pPr>
              <w:jc w:val="both"/>
            </w:pPr>
            <w:r w:rsidRPr="00C44E81">
              <w:t>В таблице 14.2 – Перечень мероприятий по дооснащению, модернизации или реконструкции объектов размещения твердых коммунальных отходов и предварительные сроки реализации мероприятий строку 6 изложить</w:t>
            </w:r>
            <w:r w:rsidR="0052312E">
              <w:t xml:space="preserve"> в измененной редакции (таблица прилагается) </w:t>
            </w:r>
          </w:p>
        </w:tc>
        <w:tc>
          <w:tcPr>
            <w:tcW w:w="5670" w:type="dxa"/>
            <w:shd w:val="clear" w:color="auto" w:fill="auto"/>
          </w:tcPr>
          <w:p w:rsidR="00290BBF" w:rsidRDefault="00AF62AA" w:rsidP="00EF4F29">
            <w:pPr>
              <w:jc w:val="both"/>
            </w:pPr>
            <w:r>
              <w:t>НЕ УЧТЕНО</w:t>
            </w:r>
          </w:p>
          <w:p w:rsidR="004A02BC" w:rsidRDefault="004A02BC" w:rsidP="00EF4F29">
            <w:pPr>
              <w:jc w:val="both"/>
            </w:pPr>
            <w:r>
              <w:t>Фактический срок реконструкции полигона в с.Северное – 2020 г. (в соответствии с Госпрограммой 10-п).</w:t>
            </w:r>
          </w:p>
          <w:p w:rsidR="00290BBF" w:rsidRPr="00EF4F29" w:rsidRDefault="004A02BC" w:rsidP="00EF4F29">
            <w:pPr>
              <w:jc w:val="both"/>
            </w:pPr>
            <w:r>
              <w:t>Предлагаемое мероприятие «Площадка временного накопления ТКО» не относится к содержанию данной таблицы.</w:t>
            </w:r>
          </w:p>
        </w:tc>
      </w:tr>
      <w:tr w:rsidR="007A7BC2" w:rsidRPr="00EF4F29" w:rsidTr="001821EF">
        <w:tc>
          <w:tcPr>
            <w:tcW w:w="534" w:type="dxa"/>
            <w:vMerge/>
            <w:shd w:val="clear" w:color="auto" w:fill="auto"/>
          </w:tcPr>
          <w:p w:rsidR="007A7BC2" w:rsidRPr="00EF4F29" w:rsidRDefault="007A7BC2" w:rsidP="00EF4F29">
            <w:pPr>
              <w:jc w:val="both"/>
            </w:pPr>
          </w:p>
        </w:tc>
        <w:tc>
          <w:tcPr>
            <w:tcW w:w="2551" w:type="dxa"/>
            <w:vMerge/>
            <w:shd w:val="clear" w:color="auto" w:fill="auto"/>
          </w:tcPr>
          <w:p w:rsidR="007A7BC2" w:rsidRPr="00EF4F29" w:rsidRDefault="007A7BC2" w:rsidP="00EF4F29">
            <w:pPr>
              <w:jc w:val="both"/>
            </w:pPr>
          </w:p>
        </w:tc>
        <w:tc>
          <w:tcPr>
            <w:tcW w:w="992" w:type="dxa"/>
            <w:tcBorders>
              <w:top w:val="single" w:sz="4" w:space="0" w:color="auto"/>
              <w:bottom w:val="single" w:sz="4" w:space="0" w:color="auto"/>
            </w:tcBorders>
            <w:shd w:val="clear" w:color="auto" w:fill="auto"/>
          </w:tcPr>
          <w:p w:rsidR="007A7BC2" w:rsidRPr="00EF4F29" w:rsidRDefault="007A7BC2" w:rsidP="00EF4F29">
            <w:pPr>
              <w:jc w:val="both"/>
            </w:pPr>
            <w:r>
              <w:t>6.6</w:t>
            </w:r>
          </w:p>
        </w:tc>
        <w:tc>
          <w:tcPr>
            <w:tcW w:w="5245" w:type="dxa"/>
            <w:shd w:val="clear" w:color="auto" w:fill="auto"/>
          </w:tcPr>
          <w:p w:rsidR="007A7BC2" w:rsidRDefault="007A7BC2" w:rsidP="00EF4F29">
            <w:pPr>
              <w:jc w:val="both"/>
            </w:pPr>
            <w:r w:rsidRPr="00C44E81">
              <w:t xml:space="preserve">В таблице 14.3 - Перечень объектов размещения твердых коммунальных отходов, подлежащих выведению из эксплуатации и рекультивации, и предварительные сроки реализации мероприятий </w:t>
            </w:r>
            <w:r w:rsidRPr="00C44E81">
              <w:lastRenderedPageBreak/>
              <w:t xml:space="preserve">строку 18 изложить в </w:t>
            </w:r>
            <w:r>
              <w:t xml:space="preserve">измененной </w:t>
            </w:r>
            <w:r w:rsidRPr="00C44E81">
              <w:t>редакции</w:t>
            </w:r>
            <w:r>
              <w:t xml:space="preserve"> (таблица прилагается)</w:t>
            </w:r>
          </w:p>
          <w:p w:rsidR="007A7BC2" w:rsidRPr="00EF4F29" w:rsidRDefault="007A7BC2" w:rsidP="00EF4F29">
            <w:pPr>
              <w:jc w:val="both"/>
            </w:pPr>
            <w:r>
              <w:t xml:space="preserve">Замена ОРО на ПВН со сроком выведения из эксплуатации в 2023 году </w:t>
            </w:r>
          </w:p>
        </w:tc>
        <w:tc>
          <w:tcPr>
            <w:tcW w:w="5670" w:type="dxa"/>
            <w:shd w:val="clear" w:color="auto" w:fill="auto"/>
          </w:tcPr>
          <w:p w:rsidR="007A7BC2" w:rsidRDefault="007A7BC2" w:rsidP="00C97301">
            <w:pPr>
              <w:jc w:val="both"/>
            </w:pPr>
            <w:r>
              <w:lastRenderedPageBreak/>
              <w:t>НЕ УЧТЕНО</w:t>
            </w:r>
          </w:p>
          <w:p w:rsidR="007A7BC2" w:rsidRDefault="007A7BC2" w:rsidP="00C97301">
            <w:pPr>
              <w:jc w:val="both"/>
            </w:pPr>
            <w:r>
              <w:t>См. пояснения к замечанию № 6.1</w:t>
            </w:r>
            <w:r w:rsidR="001821EF">
              <w:t>,</w:t>
            </w:r>
            <w:r w:rsidR="00863E1D">
              <w:t xml:space="preserve"> </w:t>
            </w:r>
            <w:r w:rsidR="001821EF">
              <w:t>6.5</w:t>
            </w:r>
          </w:p>
          <w:p w:rsidR="001821EF" w:rsidRPr="00EF4F29" w:rsidRDefault="001821EF" w:rsidP="00C97301">
            <w:pPr>
              <w:jc w:val="both"/>
            </w:pPr>
          </w:p>
        </w:tc>
      </w:tr>
      <w:tr w:rsidR="007A7BC2" w:rsidRPr="00EF4F29" w:rsidTr="0008608B">
        <w:tc>
          <w:tcPr>
            <w:tcW w:w="534" w:type="dxa"/>
            <w:vMerge/>
            <w:shd w:val="clear" w:color="auto" w:fill="FFC000"/>
          </w:tcPr>
          <w:p w:rsidR="007A7BC2" w:rsidRPr="00EF4F29" w:rsidRDefault="007A7BC2" w:rsidP="00EF4F29">
            <w:pPr>
              <w:jc w:val="both"/>
            </w:pPr>
          </w:p>
        </w:tc>
        <w:tc>
          <w:tcPr>
            <w:tcW w:w="2551" w:type="dxa"/>
            <w:vMerge/>
            <w:shd w:val="clear" w:color="auto" w:fill="FFC000"/>
          </w:tcPr>
          <w:p w:rsidR="007A7BC2" w:rsidRPr="00EF4F29" w:rsidRDefault="007A7BC2" w:rsidP="00EF4F29">
            <w:pPr>
              <w:jc w:val="both"/>
            </w:pPr>
          </w:p>
        </w:tc>
        <w:tc>
          <w:tcPr>
            <w:tcW w:w="992" w:type="dxa"/>
            <w:tcBorders>
              <w:top w:val="single" w:sz="4" w:space="0" w:color="auto"/>
              <w:bottom w:val="single" w:sz="4" w:space="0" w:color="auto"/>
            </w:tcBorders>
            <w:shd w:val="clear" w:color="auto" w:fill="auto"/>
          </w:tcPr>
          <w:p w:rsidR="007A7BC2" w:rsidRPr="00EF4F29" w:rsidRDefault="007A7BC2" w:rsidP="00EF4F29">
            <w:pPr>
              <w:jc w:val="both"/>
            </w:pPr>
            <w:r>
              <w:t>6.7</w:t>
            </w:r>
          </w:p>
        </w:tc>
        <w:tc>
          <w:tcPr>
            <w:tcW w:w="5245" w:type="dxa"/>
            <w:shd w:val="clear" w:color="auto" w:fill="auto"/>
          </w:tcPr>
          <w:p w:rsidR="007A7BC2" w:rsidRDefault="007A7BC2" w:rsidP="00EF4F29">
            <w:pPr>
              <w:jc w:val="both"/>
            </w:pPr>
            <w:r w:rsidRPr="00C44E81">
              <w:t xml:space="preserve">В таблице 15.1 – Оценочный объем капитальных вложений на реконструкцию объектов размещения отходов строку 3 изложить в </w:t>
            </w:r>
            <w:r>
              <w:t xml:space="preserve">измененной </w:t>
            </w:r>
            <w:r w:rsidRPr="00C44E81">
              <w:t>редакции</w:t>
            </w:r>
            <w:r>
              <w:t xml:space="preserve"> (таблица прилагается).</w:t>
            </w:r>
          </w:p>
          <w:p w:rsidR="007A7BC2" w:rsidRPr="00EF4F29" w:rsidRDefault="007A7BC2" w:rsidP="00EF4F29">
            <w:pPr>
              <w:jc w:val="both"/>
            </w:pPr>
            <w:r>
              <w:t xml:space="preserve">Замена «ОРО» на «полигон» </w:t>
            </w:r>
          </w:p>
        </w:tc>
        <w:tc>
          <w:tcPr>
            <w:tcW w:w="5670" w:type="dxa"/>
            <w:shd w:val="clear" w:color="auto" w:fill="auto"/>
          </w:tcPr>
          <w:p w:rsidR="007A7BC2" w:rsidRDefault="004257D9" w:rsidP="003E61DC">
            <w:pPr>
              <w:jc w:val="both"/>
            </w:pPr>
            <w:r>
              <w:t>УЧТЕНО</w:t>
            </w:r>
          </w:p>
          <w:p w:rsidR="00045FF0" w:rsidRPr="007A7BC2" w:rsidRDefault="004257D9" w:rsidP="004257D9">
            <w:pPr>
              <w:pStyle w:val="Default"/>
            </w:pPr>
            <w:r w:rsidRPr="004257D9">
              <w:rPr>
                <w:rFonts w:ascii="Times New Roman" w:hAnsi="Times New Roman" w:cs="Times New Roman"/>
                <w:color w:val="auto"/>
              </w:rPr>
              <w:t>В связи с наименованием объекта в проектной документации «Полигон по утилизации твердых бытовых отходов в с. Северное Северного района Новосибирской области»</w:t>
            </w:r>
          </w:p>
        </w:tc>
      </w:tr>
      <w:tr w:rsidR="007A7BC2" w:rsidRPr="00EF4F29" w:rsidTr="000D7BD7">
        <w:tc>
          <w:tcPr>
            <w:tcW w:w="534" w:type="dxa"/>
            <w:vMerge w:val="restart"/>
            <w:shd w:val="clear" w:color="auto" w:fill="FFFFFF" w:themeFill="background1"/>
          </w:tcPr>
          <w:p w:rsidR="007A7BC2" w:rsidRPr="00EF4F29" w:rsidRDefault="007A7BC2" w:rsidP="00EF4F29">
            <w:pPr>
              <w:jc w:val="both"/>
            </w:pPr>
          </w:p>
        </w:tc>
        <w:tc>
          <w:tcPr>
            <w:tcW w:w="2551" w:type="dxa"/>
            <w:vMerge w:val="restart"/>
            <w:shd w:val="clear" w:color="auto" w:fill="FFFFFF" w:themeFill="background1"/>
          </w:tcPr>
          <w:p w:rsidR="007A7BC2" w:rsidRPr="00EF4F29" w:rsidRDefault="007A7BC2" w:rsidP="00EF4F29">
            <w:pPr>
              <w:jc w:val="both"/>
            </w:pPr>
            <w:bookmarkStart w:id="0" w:name="_GoBack"/>
            <w:bookmarkEnd w:id="0"/>
          </w:p>
        </w:tc>
        <w:tc>
          <w:tcPr>
            <w:tcW w:w="992" w:type="dxa"/>
            <w:tcBorders>
              <w:top w:val="single" w:sz="4" w:space="0" w:color="auto"/>
              <w:bottom w:val="single" w:sz="4" w:space="0" w:color="auto"/>
            </w:tcBorders>
            <w:shd w:val="clear" w:color="auto" w:fill="FFFFFF" w:themeFill="background1"/>
          </w:tcPr>
          <w:p w:rsidR="007A7BC2" w:rsidRPr="00EF4F29" w:rsidRDefault="007A7BC2" w:rsidP="00EF4F29">
            <w:pPr>
              <w:jc w:val="both"/>
            </w:pPr>
            <w:r>
              <w:t>6.8</w:t>
            </w:r>
          </w:p>
        </w:tc>
        <w:tc>
          <w:tcPr>
            <w:tcW w:w="5245" w:type="dxa"/>
            <w:shd w:val="clear" w:color="auto" w:fill="FFFFFF" w:themeFill="background1"/>
          </w:tcPr>
          <w:p w:rsidR="007A7BC2" w:rsidRDefault="007A7BC2" w:rsidP="00EF4F29">
            <w:pPr>
              <w:jc w:val="both"/>
            </w:pPr>
            <w:r w:rsidRPr="00C44E81">
              <w:t>В таблице 15.5 – Оценочный объем капитальных вложений на выведение из эксплуатации и рекультивацию объектов размещения отходов строку 17 изложить в</w:t>
            </w:r>
            <w:r>
              <w:t xml:space="preserve"> измененной</w:t>
            </w:r>
            <w:r w:rsidRPr="00C44E81">
              <w:t xml:space="preserve"> редакции</w:t>
            </w:r>
            <w:r>
              <w:t xml:space="preserve"> </w:t>
            </w:r>
          </w:p>
          <w:p w:rsidR="007A7BC2" w:rsidRPr="00C44E81" w:rsidRDefault="007A7BC2" w:rsidP="00EF4F29">
            <w:pPr>
              <w:jc w:val="both"/>
            </w:pPr>
            <w:r>
              <w:t>«ПВН» – выведение из эксплуатации в 2023, рекультивация в 2024-2025</w:t>
            </w:r>
          </w:p>
        </w:tc>
        <w:tc>
          <w:tcPr>
            <w:tcW w:w="5670" w:type="dxa"/>
            <w:shd w:val="clear" w:color="auto" w:fill="FFFFFF" w:themeFill="background1"/>
          </w:tcPr>
          <w:p w:rsidR="007A7BC2" w:rsidRDefault="007A7BC2" w:rsidP="007A7BC2">
            <w:pPr>
              <w:jc w:val="both"/>
            </w:pPr>
            <w:r>
              <w:t>НЕ УЧТЕНО</w:t>
            </w:r>
          </w:p>
          <w:p w:rsidR="007A7BC2" w:rsidRPr="00EF4F29" w:rsidRDefault="007A7BC2" w:rsidP="007A7BC2">
            <w:pPr>
              <w:jc w:val="both"/>
              <w:rPr>
                <w:b/>
              </w:rPr>
            </w:pPr>
            <w:r>
              <w:t>См. пояснения к замечанию № 6.1</w:t>
            </w:r>
            <w:r w:rsidR="000D7BD7">
              <w:t>, 6.5</w:t>
            </w:r>
          </w:p>
        </w:tc>
      </w:tr>
      <w:tr w:rsidR="007A7BC2" w:rsidRPr="00EF4F29" w:rsidTr="00153097">
        <w:tc>
          <w:tcPr>
            <w:tcW w:w="534" w:type="dxa"/>
            <w:vMerge/>
          </w:tcPr>
          <w:p w:rsidR="007A7BC2" w:rsidRPr="00EF4F29" w:rsidRDefault="007A7BC2" w:rsidP="00EF4F29">
            <w:pPr>
              <w:jc w:val="both"/>
            </w:pPr>
          </w:p>
        </w:tc>
        <w:tc>
          <w:tcPr>
            <w:tcW w:w="2551" w:type="dxa"/>
            <w:vMerge/>
          </w:tcPr>
          <w:p w:rsidR="007A7BC2" w:rsidRPr="00EF4F29" w:rsidRDefault="007A7BC2" w:rsidP="00EF4F29">
            <w:pPr>
              <w:jc w:val="both"/>
            </w:pPr>
          </w:p>
        </w:tc>
        <w:tc>
          <w:tcPr>
            <w:tcW w:w="992" w:type="dxa"/>
            <w:tcBorders>
              <w:top w:val="single" w:sz="4" w:space="0" w:color="auto"/>
              <w:bottom w:val="single" w:sz="4" w:space="0" w:color="auto"/>
            </w:tcBorders>
            <w:shd w:val="clear" w:color="auto" w:fill="FFFFFF" w:themeFill="background1"/>
          </w:tcPr>
          <w:p w:rsidR="007A7BC2" w:rsidRPr="00EF4F29" w:rsidRDefault="007A7BC2" w:rsidP="00EF4F29">
            <w:pPr>
              <w:jc w:val="both"/>
            </w:pPr>
            <w:r>
              <w:t>6.9</w:t>
            </w:r>
          </w:p>
        </w:tc>
        <w:tc>
          <w:tcPr>
            <w:tcW w:w="5245" w:type="dxa"/>
            <w:shd w:val="clear" w:color="auto" w:fill="FFFFFF" w:themeFill="background1"/>
          </w:tcPr>
          <w:p w:rsidR="007A7BC2" w:rsidRPr="00C44E81" w:rsidRDefault="007A7BC2" w:rsidP="00EF4F29">
            <w:pPr>
              <w:jc w:val="both"/>
            </w:pPr>
            <w:r w:rsidRPr="00C44E81">
              <w:t>В приложении № 2.3 к территориальной схеме обращения с отходами, в том числе с твердыми коммунальными отходами, Новосибирской области в строке 147 наименование организации / индивидуальный предприниматель ИП Литвинов А.В. изменить на ИП Исмайлова Г.А.</w:t>
            </w:r>
          </w:p>
        </w:tc>
        <w:tc>
          <w:tcPr>
            <w:tcW w:w="5670" w:type="dxa"/>
            <w:shd w:val="clear" w:color="auto" w:fill="FFFFFF" w:themeFill="background1"/>
          </w:tcPr>
          <w:p w:rsidR="007A7BC2" w:rsidRPr="007A7BC2" w:rsidRDefault="007A7BC2" w:rsidP="00EF4F29">
            <w:pPr>
              <w:jc w:val="both"/>
            </w:pPr>
            <w:r w:rsidRPr="007A7BC2">
              <w:t>УЧТЕНО</w:t>
            </w:r>
          </w:p>
        </w:tc>
      </w:tr>
      <w:tr w:rsidR="007A7BC2" w:rsidRPr="00EF4F29" w:rsidTr="00153097">
        <w:tc>
          <w:tcPr>
            <w:tcW w:w="534" w:type="dxa"/>
            <w:vMerge/>
          </w:tcPr>
          <w:p w:rsidR="007A7BC2" w:rsidRPr="00EF4F29" w:rsidRDefault="007A7BC2" w:rsidP="00EF4F29">
            <w:pPr>
              <w:jc w:val="both"/>
            </w:pPr>
          </w:p>
        </w:tc>
        <w:tc>
          <w:tcPr>
            <w:tcW w:w="2551" w:type="dxa"/>
            <w:vMerge/>
          </w:tcPr>
          <w:p w:rsidR="007A7BC2" w:rsidRPr="00EF4F29" w:rsidRDefault="007A7BC2" w:rsidP="00EF4F29">
            <w:pPr>
              <w:jc w:val="both"/>
            </w:pPr>
          </w:p>
        </w:tc>
        <w:tc>
          <w:tcPr>
            <w:tcW w:w="992" w:type="dxa"/>
            <w:tcBorders>
              <w:top w:val="single" w:sz="4" w:space="0" w:color="auto"/>
              <w:bottom w:val="single" w:sz="4" w:space="0" w:color="auto"/>
            </w:tcBorders>
            <w:shd w:val="clear" w:color="auto" w:fill="FFFFFF" w:themeFill="background1"/>
          </w:tcPr>
          <w:p w:rsidR="007A7BC2" w:rsidRPr="00EF4F29" w:rsidRDefault="007A7BC2" w:rsidP="00EF4F29">
            <w:pPr>
              <w:jc w:val="both"/>
            </w:pPr>
            <w:r>
              <w:t>6.10</w:t>
            </w:r>
          </w:p>
        </w:tc>
        <w:tc>
          <w:tcPr>
            <w:tcW w:w="5245" w:type="dxa"/>
            <w:shd w:val="clear" w:color="auto" w:fill="FFFFFF" w:themeFill="background1"/>
          </w:tcPr>
          <w:p w:rsidR="007A7BC2" w:rsidRPr="00C44E81" w:rsidRDefault="007A7BC2" w:rsidP="00EF4F29">
            <w:pPr>
              <w:jc w:val="both"/>
            </w:pPr>
            <w:r w:rsidRPr="00C44E81">
              <w:t xml:space="preserve">В приложении № 2.4 к территориальной схеме обращения с отходами, в том числе с твердыми коммунальными отходами, Новосибирской области строки изложить в </w:t>
            </w:r>
            <w:r>
              <w:t xml:space="preserve">измененной </w:t>
            </w:r>
            <w:r w:rsidRPr="00C44E81">
              <w:t>редакции</w:t>
            </w:r>
            <w:r>
              <w:t xml:space="preserve"> (прилагается таблица)</w:t>
            </w:r>
          </w:p>
        </w:tc>
        <w:tc>
          <w:tcPr>
            <w:tcW w:w="5670" w:type="dxa"/>
            <w:shd w:val="clear" w:color="auto" w:fill="FFFFFF" w:themeFill="background1"/>
          </w:tcPr>
          <w:p w:rsidR="007A7BC2" w:rsidRPr="007A7BC2" w:rsidRDefault="007A7BC2" w:rsidP="00EF4F29">
            <w:pPr>
              <w:jc w:val="both"/>
            </w:pPr>
            <w:r w:rsidRPr="007A7BC2">
              <w:t>УЧТЕНО</w:t>
            </w:r>
          </w:p>
        </w:tc>
      </w:tr>
      <w:tr w:rsidR="007A7BC2" w:rsidRPr="00EF4F29" w:rsidTr="00153097">
        <w:tc>
          <w:tcPr>
            <w:tcW w:w="534" w:type="dxa"/>
            <w:vMerge/>
          </w:tcPr>
          <w:p w:rsidR="007A7BC2" w:rsidRPr="00EF4F29" w:rsidRDefault="007A7BC2" w:rsidP="00EF4F29">
            <w:pPr>
              <w:jc w:val="both"/>
            </w:pPr>
          </w:p>
        </w:tc>
        <w:tc>
          <w:tcPr>
            <w:tcW w:w="2551" w:type="dxa"/>
            <w:vMerge/>
          </w:tcPr>
          <w:p w:rsidR="007A7BC2" w:rsidRPr="00EF4F29" w:rsidRDefault="007A7BC2" w:rsidP="00EF4F29">
            <w:pPr>
              <w:jc w:val="both"/>
            </w:pPr>
          </w:p>
        </w:tc>
        <w:tc>
          <w:tcPr>
            <w:tcW w:w="992" w:type="dxa"/>
            <w:tcBorders>
              <w:top w:val="single" w:sz="4" w:space="0" w:color="auto"/>
              <w:bottom w:val="single" w:sz="4" w:space="0" w:color="auto"/>
            </w:tcBorders>
            <w:shd w:val="clear" w:color="auto" w:fill="FFFFFF" w:themeFill="background1"/>
          </w:tcPr>
          <w:p w:rsidR="007A7BC2" w:rsidRPr="00EF4F29" w:rsidRDefault="007A7BC2" w:rsidP="00EF4F29">
            <w:pPr>
              <w:jc w:val="both"/>
            </w:pPr>
            <w:r>
              <w:t>6.11</w:t>
            </w:r>
          </w:p>
        </w:tc>
        <w:tc>
          <w:tcPr>
            <w:tcW w:w="5245" w:type="dxa"/>
            <w:shd w:val="clear" w:color="auto" w:fill="FFFFFF" w:themeFill="background1"/>
          </w:tcPr>
          <w:p w:rsidR="007A7BC2" w:rsidRPr="00C44E81" w:rsidRDefault="007A7BC2" w:rsidP="00EF4F29">
            <w:pPr>
              <w:jc w:val="both"/>
            </w:pPr>
            <w:r w:rsidRPr="00C44E81">
              <w:t xml:space="preserve">В приложении № 2.7 к территориальной схеме обращения с отходами, в том числе с твердыми коммунальными отходами, Новосибирской </w:t>
            </w:r>
            <w:r w:rsidRPr="00C44E81">
              <w:lastRenderedPageBreak/>
              <w:t>области в строку 383 Муниципальное казенное общеобразовательное учреждение Северного района Новосибирской области Чебаковская основная школа исключить.</w:t>
            </w:r>
          </w:p>
        </w:tc>
        <w:tc>
          <w:tcPr>
            <w:tcW w:w="5670" w:type="dxa"/>
            <w:shd w:val="clear" w:color="auto" w:fill="FFFFFF" w:themeFill="background1"/>
          </w:tcPr>
          <w:p w:rsidR="007A7BC2" w:rsidRPr="003558A0" w:rsidRDefault="007A7BC2" w:rsidP="003558A0">
            <w:pPr>
              <w:jc w:val="both"/>
            </w:pPr>
            <w:r>
              <w:lastRenderedPageBreak/>
              <w:t>УЧТЕНО</w:t>
            </w:r>
          </w:p>
          <w:p w:rsidR="007A7BC2" w:rsidRPr="00EF4F29" w:rsidRDefault="007A7BC2" w:rsidP="00EF4F29">
            <w:pPr>
              <w:jc w:val="both"/>
              <w:rPr>
                <w:b/>
              </w:rPr>
            </w:pPr>
          </w:p>
        </w:tc>
      </w:tr>
      <w:tr w:rsidR="007A7BC2" w:rsidRPr="00EF4F29" w:rsidTr="00153097">
        <w:tc>
          <w:tcPr>
            <w:tcW w:w="534" w:type="dxa"/>
            <w:vMerge/>
            <w:shd w:val="clear" w:color="auto" w:fill="00B050"/>
          </w:tcPr>
          <w:p w:rsidR="007A7BC2" w:rsidRPr="00EF4F29" w:rsidRDefault="007A7BC2" w:rsidP="00EF4F29">
            <w:pPr>
              <w:jc w:val="both"/>
            </w:pPr>
          </w:p>
        </w:tc>
        <w:tc>
          <w:tcPr>
            <w:tcW w:w="2551" w:type="dxa"/>
            <w:vMerge/>
            <w:shd w:val="clear" w:color="auto" w:fill="00B050"/>
          </w:tcPr>
          <w:p w:rsidR="007A7BC2" w:rsidRPr="00EF4F29" w:rsidRDefault="007A7BC2" w:rsidP="00EF4F29">
            <w:pPr>
              <w:jc w:val="both"/>
            </w:pPr>
          </w:p>
        </w:tc>
        <w:tc>
          <w:tcPr>
            <w:tcW w:w="992" w:type="dxa"/>
            <w:tcBorders>
              <w:top w:val="single" w:sz="4" w:space="0" w:color="auto"/>
              <w:bottom w:val="single" w:sz="4" w:space="0" w:color="auto"/>
            </w:tcBorders>
            <w:shd w:val="clear" w:color="auto" w:fill="FFFFFF" w:themeFill="background1"/>
          </w:tcPr>
          <w:p w:rsidR="007A7BC2" w:rsidRPr="00EF4F29" w:rsidRDefault="007A7BC2" w:rsidP="00EF4F29">
            <w:pPr>
              <w:jc w:val="both"/>
            </w:pPr>
            <w:r>
              <w:t>6.12</w:t>
            </w:r>
          </w:p>
        </w:tc>
        <w:tc>
          <w:tcPr>
            <w:tcW w:w="5245" w:type="dxa"/>
            <w:shd w:val="clear" w:color="auto" w:fill="FFFFFF" w:themeFill="background1"/>
          </w:tcPr>
          <w:p w:rsidR="007A7BC2" w:rsidRPr="00C44E81" w:rsidRDefault="007A7BC2" w:rsidP="00EF4F29">
            <w:pPr>
              <w:jc w:val="both"/>
            </w:pPr>
            <w:r w:rsidRPr="00C44E81">
              <w:t>В приложении № 2.8 к территориальной схеме обращения с отходами, в том числе с твердыми коммунальными отходами, Новосибирской области в строке 2383 полное наименование организации ПО "Шанс" заменить на ДОАО "Северное ХПП" ОАО "Новосибирскхлебопродукт".</w:t>
            </w:r>
          </w:p>
        </w:tc>
        <w:tc>
          <w:tcPr>
            <w:tcW w:w="5670" w:type="dxa"/>
            <w:shd w:val="clear" w:color="auto" w:fill="FFFFFF" w:themeFill="background1"/>
          </w:tcPr>
          <w:p w:rsidR="007A7BC2" w:rsidRPr="007A7BC2" w:rsidRDefault="007A7BC2" w:rsidP="00EF4F29">
            <w:pPr>
              <w:jc w:val="both"/>
            </w:pPr>
            <w:r w:rsidRPr="007A7BC2">
              <w:t>УЧТЕНО</w:t>
            </w:r>
          </w:p>
          <w:p w:rsidR="007A7BC2" w:rsidRPr="007A7BC2" w:rsidRDefault="007A7BC2" w:rsidP="00EF4F29">
            <w:pPr>
              <w:jc w:val="both"/>
            </w:pPr>
          </w:p>
        </w:tc>
      </w:tr>
      <w:tr w:rsidR="007A7BC2" w:rsidRPr="00EF4F29" w:rsidTr="0008608B">
        <w:tc>
          <w:tcPr>
            <w:tcW w:w="534" w:type="dxa"/>
            <w:shd w:val="clear" w:color="auto" w:fill="auto"/>
          </w:tcPr>
          <w:p w:rsidR="007A7BC2" w:rsidRPr="00EF4F29" w:rsidRDefault="007A7BC2" w:rsidP="00EF4F29">
            <w:pPr>
              <w:jc w:val="both"/>
            </w:pPr>
          </w:p>
        </w:tc>
        <w:tc>
          <w:tcPr>
            <w:tcW w:w="2551" w:type="dxa"/>
            <w:shd w:val="clear" w:color="auto" w:fill="auto"/>
          </w:tcPr>
          <w:p w:rsidR="007A7BC2" w:rsidRPr="00EF4F29" w:rsidRDefault="007A7BC2" w:rsidP="00EF4F29">
            <w:pPr>
              <w:jc w:val="both"/>
            </w:pPr>
          </w:p>
        </w:tc>
        <w:tc>
          <w:tcPr>
            <w:tcW w:w="992" w:type="dxa"/>
            <w:tcBorders>
              <w:top w:val="single" w:sz="4" w:space="0" w:color="auto"/>
              <w:bottom w:val="single" w:sz="4" w:space="0" w:color="auto"/>
            </w:tcBorders>
            <w:shd w:val="clear" w:color="auto" w:fill="auto"/>
          </w:tcPr>
          <w:p w:rsidR="007A7BC2" w:rsidRPr="00EF4F29" w:rsidRDefault="007A7BC2" w:rsidP="00EF4F29">
            <w:pPr>
              <w:jc w:val="both"/>
            </w:pPr>
            <w:r>
              <w:t>6.13</w:t>
            </w:r>
          </w:p>
        </w:tc>
        <w:tc>
          <w:tcPr>
            <w:tcW w:w="5245" w:type="dxa"/>
            <w:shd w:val="clear" w:color="auto" w:fill="auto"/>
          </w:tcPr>
          <w:p w:rsidR="007A7BC2" w:rsidRPr="00C44E81" w:rsidRDefault="007A7BC2" w:rsidP="00EF4F29">
            <w:pPr>
              <w:jc w:val="both"/>
            </w:pPr>
            <w:r w:rsidRPr="00C44E81">
              <w:t>В таблице 16.1 - Предельные тарифы в области обращения с твердыми коммунальными отходами на 2019 г. в строке 12 реквизиты приказа указать в редакции «приказ № 638-ЖКХ от 12.12.2019».</w:t>
            </w:r>
          </w:p>
        </w:tc>
        <w:tc>
          <w:tcPr>
            <w:tcW w:w="5670" w:type="dxa"/>
            <w:shd w:val="clear" w:color="auto" w:fill="auto"/>
          </w:tcPr>
          <w:p w:rsidR="0008608B" w:rsidRDefault="0008608B" w:rsidP="00EF4F29">
            <w:pPr>
              <w:jc w:val="both"/>
            </w:pPr>
            <w:r>
              <w:t>НЕ УЧТЕНО</w:t>
            </w:r>
          </w:p>
          <w:p w:rsidR="00EC6CDA" w:rsidRPr="007A7BC2" w:rsidRDefault="0008608B" w:rsidP="00EF4F29">
            <w:pPr>
              <w:jc w:val="both"/>
            </w:pPr>
            <w:r>
              <w:t xml:space="preserve">Приказ № 638-ЖКХ департамента по тарифам Новосибирской области касается периода 2020-2022 гг.  </w:t>
            </w:r>
          </w:p>
        </w:tc>
      </w:tr>
      <w:tr w:rsidR="007A7BC2" w:rsidRPr="00EF4F29" w:rsidTr="003C26EB">
        <w:tc>
          <w:tcPr>
            <w:tcW w:w="534" w:type="dxa"/>
            <w:vMerge w:val="restart"/>
            <w:shd w:val="clear" w:color="auto" w:fill="FFFFFF" w:themeFill="background1"/>
          </w:tcPr>
          <w:p w:rsidR="007A7BC2" w:rsidRPr="00EF4F29" w:rsidRDefault="007A7BC2" w:rsidP="00EF4F29">
            <w:pPr>
              <w:jc w:val="both"/>
            </w:pPr>
            <w:r>
              <w:t>7</w:t>
            </w:r>
          </w:p>
        </w:tc>
        <w:tc>
          <w:tcPr>
            <w:tcW w:w="2551" w:type="dxa"/>
            <w:vMerge w:val="restart"/>
            <w:shd w:val="clear" w:color="auto" w:fill="FFFFFF" w:themeFill="background1"/>
          </w:tcPr>
          <w:p w:rsidR="007A7BC2" w:rsidRPr="00EF4F29" w:rsidRDefault="007A7BC2" w:rsidP="00020D1C">
            <w:pPr>
              <w:jc w:val="both"/>
            </w:pPr>
            <w:r>
              <w:t xml:space="preserve">Администрация Коченевского района Новосибирской области </w:t>
            </w:r>
          </w:p>
        </w:tc>
        <w:tc>
          <w:tcPr>
            <w:tcW w:w="992" w:type="dxa"/>
            <w:tcBorders>
              <w:top w:val="single" w:sz="4" w:space="0" w:color="auto"/>
              <w:bottom w:val="single" w:sz="4" w:space="0" w:color="auto"/>
            </w:tcBorders>
            <w:shd w:val="clear" w:color="auto" w:fill="FFFFFF" w:themeFill="background1"/>
          </w:tcPr>
          <w:p w:rsidR="007A7BC2" w:rsidRPr="00EF4F29" w:rsidRDefault="007A7BC2" w:rsidP="00020D1C">
            <w:pPr>
              <w:jc w:val="both"/>
            </w:pPr>
            <w:r>
              <w:t>7.1</w:t>
            </w:r>
          </w:p>
        </w:tc>
        <w:tc>
          <w:tcPr>
            <w:tcW w:w="5245" w:type="dxa"/>
            <w:shd w:val="clear" w:color="auto" w:fill="FFFFFF" w:themeFill="background1"/>
          </w:tcPr>
          <w:p w:rsidR="007A7BC2" w:rsidRPr="00C44E81" w:rsidRDefault="007A7BC2" w:rsidP="00020D1C">
            <w:pPr>
              <w:jc w:val="both"/>
            </w:pPr>
            <w:r w:rsidRPr="00663BDC">
              <w:t>Администрация поселка, учитывая мнение жителей р.п. Коченево (общественные слушания), предлагает исключить полигон для размещения ТКО и твердых промышленных отходов III-V классов опасности в Коченевском районе Новосибирской области из перечня планируемых мероприятий по строительству объектов обработки, размещения, обезвреживания и захоронения отходов производства и потребления</w:t>
            </w:r>
          </w:p>
        </w:tc>
        <w:tc>
          <w:tcPr>
            <w:tcW w:w="5670" w:type="dxa"/>
            <w:shd w:val="clear" w:color="auto" w:fill="FFFFFF" w:themeFill="background1"/>
          </w:tcPr>
          <w:p w:rsidR="007A7BC2" w:rsidRPr="00EF4F29" w:rsidRDefault="007A7BC2" w:rsidP="003558A0">
            <w:pPr>
              <w:jc w:val="both"/>
            </w:pPr>
            <w:r w:rsidRPr="00EF4F29">
              <w:t>НЕ УЧТЕНО</w:t>
            </w:r>
          </w:p>
          <w:p w:rsidR="007A7BC2" w:rsidRPr="00EF4F29" w:rsidRDefault="007A7BC2" w:rsidP="003558A0">
            <w:pPr>
              <w:jc w:val="both"/>
            </w:pPr>
            <w:r w:rsidRPr="00EF4F29">
              <w:t xml:space="preserve">Мероприятие по строительству объекта для размещения промышленных отходов </w:t>
            </w:r>
            <w:r w:rsidRPr="00EF4F29">
              <w:rPr>
                <w:lang w:val="en-US"/>
              </w:rPr>
              <w:t>III</w:t>
            </w:r>
            <w:r w:rsidRPr="00EF4F29">
              <w:t>-</w:t>
            </w:r>
            <w:r w:rsidRPr="00EF4F29">
              <w:rPr>
                <w:lang w:val="en-US"/>
              </w:rPr>
              <w:t>V</w:t>
            </w:r>
            <w:r w:rsidRPr="00EF4F29">
              <w:t xml:space="preserve"> классов опасности включено в территориальную схему по предложению ООО «Квант», поступившему при корректировке территориальной схемы в 2019 году, которая в установленном порядке проходила общественные обсуждения. Создание объекта планируется на земельном участке с соответствующем целевым назначением, предоставленном администрацией Коченевского района, и в соответствии с документами территориального планирования. </w:t>
            </w:r>
          </w:p>
          <w:p w:rsidR="007A7BC2" w:rsidRPr="00EF4F29" w:rsidRDefault="007A7BC2" w:rsidP="003558A0">
            <w:pPr>
              <w:jc w:val="both"/>
            </w:pPr>
            <w:r w:rsidRPr="00EF4F29">
              <w:lastRenderedPageBreak/>
              <w:t>Строительство объекта предполагается без привлечения бюджетных средств.</w:t>
            </w:r>
          </w:p>
          <w:p w:rsidR="003C26EB" w:rsidRDefault="007A7BC2" w:rsidP="003558A0">
            <w:pPr>
              <w:jc w:val="both"/>
            </w:pPr>
            <w:r w:rsidRPr="00EF4F29">
              <w:t>В Новосибирской области имеется потребность в создании объектов для размещения отходов III-V кл</w:t>
            </w:r>
            <w:r>
              <w:t xml:space="preserve">ассов опасности (кроме ТКО). </w:t>
            </w:r>
          </w:p>
          <w:p w:rsidR="007A7BC2" w:rsidRPr="00EF4F29" w:rsidRDefault="003C26EB" w:rsidP="003558A0">
            <w:pPr>
              <w:jc w:val="both"/>
              <w:rPr>
                <w:b/>
              </w:rPr>
            </w:pPr>
            <w:r>
              <w:t>С</w:t>
            </w:r>
            <w:r w:rsidR="007A7BC2" w:rsidRPr="00EF4F29">
              <w:t>оответствие (не соответствие) проектной документации на строительство объекта экологическим требованиям, установленным техническими регламентами и законодательству в области охраны окружающей среды,</w:t>
            </w:r>
            <w:r>
              <w:t xml:space="preserve"> в том числе учет мнения общественности,</w:t>
            </w:r>
            <w:r w:rsidR="007A7BC2" w:rsidRPr="00EF4F29">
              <w:t xml:space="preserve"> будет определено при проведении государственной экологической экспертизы федерального уровня.</w:t>
            </w:r>
          </w:p>
        </w:tc>
      </w:tr>
      <w:tr w:rsidR="007A7BC2" w:rsidRPr="00EF4F29" w:rsidTr="0008608B">
        <w:tc>
          <w:tcPr>
            <w:tcW w:w="534" w:type="dxa"/>
            <w:vMerge/>
            <w:shd w:val="clear" w:color="auto" w:fill="FFC000"/>
          </w:tcPr>
          <w:p w:rsidR="007A7BC2" w:rsidRPr="00EF4F29" w:rsidRDefault="007A7BC2" w:rsidP="00EF4F29">
            <w:pPr>
              <w:jc w:val="both"/>
            </w:pPr>
          </w:p>
        </w:tc>
        <w:tc>
          <w:tcPr>
            <w:tcW w:w="2551" w:type="dxa"/>
            <w:vMerge/>
            <w:shd w:val="clear" w:color="auto" w:fill="FFC000"/>
          </w:tcPr>
          <w:p w:rsidR="007A7BC2" w:rsidRPr="00EF4F29" w:rsidRDefault="007A7BC2" w:rsidP="00EF4F29">
            <w:pPr>
              <w:jc w:val="both"/>
            </w:pPr>
          </w:p>
        </w:tc>
        <w:tc>
          <w:tcPr>
            <w:tcW w:w="992" w:type="dxa"/>
            <w:tcBorders>
              <w:top w:val="single" w:sz="4" w:space="0" w:color="auto"/>
              <w:bottom w:val="single" w:sz="4" w:space="0" w:color="auto"/>
            </w:tcBorders>
            <w:shd w:val="clear" w:color="auto" w:fill="auto"/>
          </w:tcPr>
          <w:p w:rsidR="007A7BC2" w:rsidRPr="00EF4F29" w:rsidRDefault="007A7BC2" w:rsidP="00EF4F29">
            <w:pPr>
              <w:jc w:val="both"/>
            </w:pPr>
            <w:r>
              <w:t>7.2</w:t>
            </w:r>
          </w:p>
        </w:tc>
        <w:tc>
          <w:tcPr>
            <w:tcW w:w="5245" w:type="dxa"/>
            <w:shd w:val="clear" w:color="auto" w:fill="auto"/>
          </w:tcPr>
          <w:p w:rsidR="007A7BC2" w:rsidRPr="00C44E81" w:rsidRDefault="007A7BC2" w:rsidP="00EF4F29">
            <w:pPr>
              <w:jc w:val="both"/>
            </w:pPr>
            <w:r w:rsidRPr="00663BDC">
              <w:t>Администрация Коченевского района предлагает перенаправить потоки отходов из Поваренского сельсовета на ПВН+МСС «Коченевская» в р.п.Коченево по причине отсутствия прямой автомобильной дороги между с. Поваренка и с. Целинное.</w:t>
            </w:r>
          </w:p>
        </w:tc>
        <w:tc>
          <w:tcPr>
            <w:tcW w:w="5670" w:type="dxa"/>
            <w:shd w:val="clear" w:color="auto" w:fill="auto"/>
          </w:tcPr>
          <w:p w:rsidR="003B0C3C" w:rsidRDefault="003B0C3C" w:rsidP="003B0C3C">
            <w:pPr>
              <w:jc w:val="both"/>
            </w:pPr>
            <w:r>
              <w:t>НЕ УЧТЕНО</w:t>
            </w:r>
          </w:p>
          <w:p w:rsidR="003171CF" w:rsidRPr="003171CF" w:rsidRDefault="003B0C3C" w:rsidP="003B0C3C">
            <w:pPr>
              <w:jc w:val="both"/>
            </w:pPr>
            <w:r>
              <w:t>Предложения по изменению схемы перспективных потоков твердых коммунальных отходов будут рассмотрены при последующей корректировке территориальной схемы, в связи с тем, что данный вопрос требует детальной проработки и расчета затрат на транспортирование</w:t>
            </w:r>
          </w:p>
        </w:tc>
      </w:tr>
      <w:tr w:rsidR="007A7BC2" w:rsidRPr="00EF4F29" w:rsidTr="003171CF">
        <w:tc>
          <w:tcPr>
            <w:tcW w:w="534" w:type="dxa"/>
            <w:shd w:val="clear" w:color="auto" w:fill="FFFFFF" w:themeFill="background1"/>
          </w:tcPr>
          <w:p w:rsidR="007A7BC2" w:rsidRPr="00EF4F29" w:rsidRDefault="007A7BC2" w:rsidP="00EF4F29">
            <w:pPr>
              <w:jc w:val="both"/>
            </w:pPr>
            <w:r>
              <w:t>8</w:t>
            </w:r>
          </w:p>
        </w:tc>
        <w:tc>
          <w:tcPr>
            <w:tcW w:w="2551" w:type="dxa"/>
            <w:shd w:val="clear" w:color="auto" w:fill="FFFFFF" w:themeFill="background1"/>
          </w:tcPr>
          <w:p w:rsidR="007A7BC2" w:rsidRPr="00EF4F29" w:rsidRDefault="007A7BC2" w:rsidP="00020D1C">
            <w:pPr>
              <w:jc w:val="both"/>
            </w:pPr>
            <w:r>
              <w:t xml:space="preserve">Администрация р.п. Коченево, Коченевского района Новосибирской области </w:t>
            </w:r>
          </w:p>
        </w:tc>
        <w:tc>
          <w:tcPr>
            <w:tcW w:w="992" w:type="dxa"/>
            <w:tcBorders>
              <w:top w:val="single" w:sz="4" w:space="0" w:color="auto"/>
              <w:bottom w:val="single" w:sz="4" w:space="0" w:color="auto"/>
            </w:tcBorders>
            <w:shd w:val="clear" w:color="auto" w:fill="FFFFFF" w:themeFill="background1"/>
          </w:tcPr>
          <w:p w:rsidR="007A7BC2" w:rsidRPr="00EF4F29" w:rsidRDefault="007A7BC2" w:rsidP="00020D1C">
            <w:pPr>
              <w:jc w:val="both"/>
            </w:pPr>
            <w:r>
              <w:t>8.1</w:t>
            </w:r>
          </w:p>
        </w:tc>
        <w:tc>
          <w:tcPr>
            <w:tcW w:w="5245" w:type="dxa"/>
            <w:shd w:val="clear" w:color="auto" w:fill="FFFFFF" w:themeFill="background1"/>
          </w:tcPr>
          <w:p w:rsidR="007A7BC2" w:rsidRPr="00C44E81" w:rsidRDefault="007A7BC2" w:rsidP="00020D1C">
            <w:pPr>
              <w:jc w:val="both"/>
            </w:pPr>
            <w:r w:rsidRPr="00663BDC">
              <w:t xml:space="preserve">Администрация поселка, учитывая мнение жителей р.п. Коченево (общественные слушания), предлагает исключить полигон для размещения ТКО и твердых промышленных отходов III-V классов опасности в Коченевском районе Новосибирской области из перечня планируемых мероприятий по строительству объектов обработки, размещения, </w:t>
            </w:r>
            <w:r w:rsidRPr="00663BDC">
              <w:lastRenderedPageBreak/>
              <w:t>обезвреживания и захоронения отходов производства и потребления</w:t>
            </w:r>
          </w:p>
        </w:tc>
        <w:tc>
          <w:tcPr>
            <w:tcW w:w="5670" w:type="dxa"/>
            <w:shd w:val="clear" w:color="auto" w:fill="FFFFFF" w:themeFill="background1"/>
          </w:tcPr>
          <w:p w:rsidR="003171CF" w:rsidRPr="003558A0" w:rsidRDefault="007A7BC2" w:rsidP="00EF4F29">
            <w:pPr>
              <w:jc w:val="both"/>
            </w:pPr>
            <w:r w:rsidRPr="003558A0">
              <w:lastRenderedPageBreak/>
              <w:t>См. пояснения к замечанию № 7.1</w:t>
            </w:r>
          </w:p>
        </w:tc>
      </w:tr>
    </w:tbl>
    <w:p w:rsidR="000C3C2B" w:rsidRPr="00EF4F29" w:rsidRDefault="000C3C2B" w:rsidP="00EF4F29">
      <w:pPr>
        <w:jc w:val="both"/>
        <w:rPr>
          <w:sz w:val="28"/>
          <w:szCs w:val="28"/>
        </w:rPr>
      </w:pPr>
    </w:p>
    <w:sectPr w:rsidR="000C3C2B" w:rsidRPr="00EF4F29" w:rsidSect="00152BE4">
      <w:pgSz w:w="16838" w:h="11906" w:orient="landscape"/>
      <w:pgMar w:top="1260" w:right="719" w:bottom="746" w:left="899"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31" w:rsidRDefault="003D5131">
      <w:r>
        <w:separator/>
      </w:r>
    </w:p>
  </w:endnote>
  <w:endnote w:type="continuationSeparator" w:id="0">
    <w:p w:rsidR="003D5131" w:rsidRDefault="003D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pgost">
    <w:altName w:val="Mipgos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31" w:rsidRDefault="003D5131">
      <w:r>
        <w:separator/>
      </w:r>
    </w:p>
  </w:footnote>
  <w:footnote w:type="continuationSeparator" w:id="0">
    <w:p w:rsidR="003D5131" w:rsidRDefault="003D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E27"/>
    <w:multiLevelType w:val="hybridMultilevel"/>
    <w:tmpl w:val="032C3140"/>
    <w:lvl w:ilvl="0" w:tplc="0CFA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5F69DB"/>
    <w:multiLevelType w:val="hybridMultilevel"/>
    <w:tmpl w:val="CD62C4B4"/>
    <w:lvl w:ilvl="0" w:tplc="07F6A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BA59C4"/>
    <w:multiLevelType w:val="hybridMultilevel"/>
    <w:tmpl w:val="FFC0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C13F9"/>
    <w:multiLevelType w:val="hybridMultilevel"/>
    <w:tmpl w:val="032C3140"/>
    <w:lvl w:ilvl="0" w:tplc="0CFA4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3"/>
    <w:rsid w:val="00002394"/>
    <w:rsid w:val="00006C2B"/>
    <w:rsid w:val="000109FA"/>
    <w:rsid w:val="000115FC"/>
    <w:rsid w:val="0001320B"/>
    <w:rsid w:val="00014855"/>
    <w:rsid w:val="00027D1D"/>
    <w:rsid w:val="000357A0"/>
    <w:rsid w:val="00045FF0"/>
    <w:rsid w:val="00047D56"/>
    <w:rsid w:val="00050566"/>
    <w:rsid w:val="000547C9"/>
    <w:rsid w:val="00056215"/>
    <w:rsid w:val="00063D5D"/>
    <w:rsid w:val="0007649A"/>
    <w:rsid w:val="00082BD0"/>
    <w:rsid w:val="0008608B"/>
    <w:rsid w:val="000A57A0"/>
    <w:rsid w:val="000B72ED"/>
    <w:rsid w:val="000C3C2B"/>
    <w:rsid w:val="000D18F7"/>
    <w:rsid w:val="000D20F3"/>
    <w:rsid w:val="000D6F92"/>
    <w:rsid w:val="000D7BD7"/>
    <w:rsid w:val="000E36E9"/>
    <w:rsid w:val="000F4BF8"/>
    <w:rsid w:val="00104AA0"/>
    <w:rsid w:val="00113076"/>
    <w:rsid w:val="001226EA"/>
    <w:rsid w:val="00125C14"/>
    <w:rsid w:val="001261FF"/>
    <w:rsid w:val="001278A5"/>
    <w:rsid w:val="00132379"/>
    <w:rsid w:val="001449AC"/>
    <w:rsid w:val="001513B0"/>
    <w:rsid w:val="00152BE4"/>
    <w:rsid w:val="00153097"/>
    <w:rsid w:val="00164A41"/>
    <w:rsid w:val="0016620E"/>
    <w:rsid w:val="001701DA"/>
    <w:rsid w:val="001776CA"/>
    <w:rsid w:val="001821EF"/>
    <w:rsid w:val="001A0F47"/>
    <w:rsid w:val="001A454D"/>
    <w:rsid w:val="001A5767"/>
    <w:rsid w:val="001B535C"/>
    <w:rsid w:val="001C3E6C"/>
    <w:rsid w:val="001C4104"/>
    <w:rsid w:val="001F156B"/>
    <w:rsid w:val="001F48EB"/>
    <w:rsid w:val="001F63A0"/>
    <w:rsid w:val="001F7727"/>
    <w:rsid w:val="0020023C"/>
    <w:rsid w:val="00211D58"/>
    <w:rsid w:val="002202D3"/>
    <w:rsid w:val="00223051"/>
    <w:rsid w:val="00230AAE"/>
    <w:rsid w:val="00232C03"/>
    <w:rsid w:val="002445A1"/>
    <w:rsid w:val="00246D33"/>
    <w:rsid w:val="002479EA"/>
    <w:rsid w:val="00250D08"/>
    <w:rsid w:val="0025373B"/>
    <w:rsid w:val="00256911"/>
    <w:rsid w:val="00262911"/>
    <w:rsid w:val="00262C85"/>
    <w:rsid w:val="00262DF8"/>
    <w:rsid w:val="00263AF1"/>
    <w:rsid w:val="00280A01"/>
    <w:rsid w:val="00290BBF"/>
    <w:rsid w:val="00292580"/>
    <w:rsid w:val="002A75A6"/>
    <w:rsid w:val="002B2A04"/>
    <w:rsid w:val="002B5EA0"/>
    <w:rsid w:val="002B7848"/>
    <w:rsid w:val="002C3BE3"/>
    <w:rsid w:val="002D4E87"/>
    <w:rsid w:val="002D72F3"/>
    <w:rsid w:val="002E5186"/>
    <w:rsid w:val="00302635"/>
    <w:rsid w:val="003043CE"/>
    <w:rsid w:val="0030743A"/>
    <w:rsid w:val="00310115"/>
    <w:rsid w:val="003143DB"/>
    <w:rsid w:val="003171CF"/>
    <w:rsid w:val="00320370"/>
    <w:rsid w:val="003203BF"/>
    <w:rsid w:val="0032253C"/>
    <w:rsid w:val="00345AF9"/>
    <w:rsid w:val="00346441"/>
    <w:rsid w:val="00347C9F"/>
    <w:rsid w:val="00351666"/>
    <w:rsid w:val="00351DB0"/>
    <w:rsid w:val="0035325A"/>
    <w:rsid w:val="003558A0"/>
    <w:rsid w:val="00371F2E"/>
    <w:rsid w:val="003732C0"/>
    <w:rsid w:val="00394B7E"/>
    <w:rsid w:val="003A0CE1"/>
    <w:rsid w:val="003A265E"/>
    <w:rsid w:val="003A5457"/>
    <w:rsid w:val="003B0C3C"/>
    <w:rsid w:val="003C26EB"/>
    <w:rsid w:val="003C333F"/>
    <w:rsid w:val="003D5131"/>
    <w:rsid w:val="003E4FD8"/>
    <w:rsid w:val="003E61DC"/>
    <w:rsid w:val="003E7C29"/>
    <w:rsid w:val="003F1A49"/>
    <w:rsid w:val="00402B46"/>
    <w:rsid w:val="004045F7"/>
    <w:rsid w:val="004221C3"/>
    <w:rsid w:val="004257D9"/>
    <w:rsid w:val="00445CBC"/>
    <w:rsid w:val="00450DF0"/>
    <w:rsid w:val="0045699E"/>
    <w:rsid w:val="00460039"/>
    <w:rsid w:val="0046776C"/>
    <w:rsid w:val="004916BD"/>
    <w:rsid w:val="004A02BC"/>
    <w:rsid w:val="004A32C6"/>
    <w:rsid w:val="004B7042"/>
    <w:rsid w:val="004C65A9"/>
    <w:rsid w:val="004D5480"/>
    <w:rsid w:val="004D78F9"/>
    <w:rsid w:val="004E159B"/>
    <w:rsid w:val="004F299A"/>
    <w:rsid w:val="004F5981"/>
    <w:rsid w:val="00503C9F"/>
    <w:rsid w:val="0052312E"/>
    <w:rsid w:val="005244D7"/>
    <w:rsid w:val="00525C5F"/>
    <w:rsid w:val="00525DF3"/>
    <w:rsid w:val="00532356"/>
    <w:rsid w:val="005330D6"/>
    <w:rsid w:val="0053400A"/>
    <w:rsid w:val="00537D34"/>
    <w:rsid w:val="0054188B"/>
    <w:rsid w:val="00542638"/>
    <w:rsid w:val="005614E5"/>
    <w:rsid w:val="00561877"/>
    <w:rsid w:val="005637E9"/>
    <w:rsid w:val="00564F78"/>
    <w:rsid w:val="00573829"/>
    <w:rsid w:val="00577997"/>
    <w:rsid w:val="005806EC"/>
    <w:rsid w:val="00582D0C"/>
    <w:rsid w:val="00594BF6"/>
    <w:rsid w:val="005A676B"/>
    <w:rsid w:val="005B135C"/>
    <w:rsid w:val="005B1D75"/>
    <w:rsid w:val="005B77BB"/>
    <w:rsid w:val="005D509B"/>
    <w:rsid w:val="005E2033"/>
    <w:rsid w:val="005E2156"/>
    <w:rsid w:val="005F6760"/>
    <w:rsid w:val="00606632"/>
    <w:rsid w:val="00613B67"/>
    <w:rsid w:val="006144F7"/>
    <w:rsid w:val="0061695D"/>
    <w:rsid w:val="00635800"/>
    <w:rsid w:val="00640CB7"/>
    <w:rsid w:val="006415FD"/>
    <w:rsid w:val="00642086"/>
    <w:rsid w:val="00646F99"/>
    <w:rsid w:val="00650E5B"/>
    <w:rsid w:val="006512F2"/>
    <w:rsid w:val="00661A6C"/>
    <w:rsid w:val="00663BDC"/>
    <w:rsid w:val="00680182"/>
    <w:rsid w:val="00686FB8"/>
    <w:rsid w:val="006A0E04"/>
    <w:rsid w:val="006A19EE"/>
    <w:rsid w:val="006A2599"/>
    <w:rsid w:val="006B0892"/>
    <w:rsid w:val="006B57D9"/>
    <w:rsid w:val="006C6262"/>
    <w:rsid w:val="006D4269"/>
    <w:rsid w:val="006D641A"/>
    <w:rsid w:val="006E4E35"/>
    <w:rsid w:val="006F65BE"/>
    <w:rsid w:val="00700220"/>
    <w:rsid w:val="007006FF"/>
    <w:rsid w:val="0070181F"/>
    <w:rsid w:val="00704072"/>
    <w:rsid w:val="0070752B"/>
    <w:rsid w:val="0071164E"/>
    <w:rsid w:val="00712D52"/>
    <w:rsid w:val="007312C1"/>
    <w:rsid w:val="007321F5"/>
    <w:rsid w:val="00741D13"/>
    <w:rsid w:val="007427B6"/>
    <w:rsid w:val="007450EE"/>
    <w:rsid w:val="00751D25"/>
    <w:rsid w:val="00756CCA"/>
    <w:rsid w:val="00757192"/>
    <w:rsid w:val="007816E0"/>
    <w:rsid w:val="0078497B"/>
    <w:rsid w:val="007906A6"/>
    <w:rsid w:val="00795799"/>
    <w:rsid w:val="007A58ED"/>
    <w:rsid w:val="007A7BC2"/>
    <w:rsid w:val="007B0A4F"/>
    <w:rsid w:val="007B618C"/>
    <w:rsid w:val="007B66FA"/>
    <w:rsid w:val="007B76B0"/>
    <w:rsid w:val="007B7F3F"/>
    <w:rsid w:val="007D131A"/>
    <w:rsid w:val="007D1EFE"/>
    <w:rsid w:val="007D3308"/>
    <w:rsid w:val="007E1DD7"/>
    <w:rsid w:val="007E1E42"/>
    <w:rsid w:val="007E5D27"/>
    <w:rsid w:val="008034B3"/>
    <w:rsid w:val="0081318C"/>
    <w:rsid w:val="008231D2"/>
    <w:rsid w:val="0082546A"/>
    <w:rsid w:val="0082683B"/>
    <w:rsid w:val="0083031F"/>
    <w:rsid w:val="00835248"/>
    <w:rsid w:val="00836159"/>
    <w:rsid w:val="00857407"/>
    <w:rsid w:val="00863E1D"/>
    <w:rsid w:val="00871EBA"/>
    <w:rsid w:val="00883E24"/>
    <w:rsid w:val="008840F7"/>
    <w:rsid w:val="008966B2"/>
    <w:rsid w:val="008C0988"/>
    <w:rsid w:val="008C6971"/>
    <w:rsid w:val="008D7E20"/>
    <w:rsid w:val="008E4DFB"/>
    <w:rsid w:val="008F1F60"/>
    <w:rsid w:val="009004FF"/>
    <w:rsid w:val="009051D0"/>
    <w:rsid w:val="009111A6"/>
    <w:rsid w:val="009134EF"/>
    <w:rsid w:val="0091604D"/>
    <w:rsid w:val="00921AD5"/>
    <w:rsid w:val="0092332C"/>
    <w:rsid w:val="00930E95"/>
    <w:rsid w:val="00933191"/>
    <w:rsid w:val="0093539C"/>
    <w:rsid w:val="00941808"/>
    <w:rsid w:val="00946C9A"/>
    <w:rsid w:val="00947EB6"/>
    <w:rsid w:val="00951782"/>
    <w:rsid w:val="00954E6D"/>
    <w:rsid w:val="00955FCE"/>
    <w:rsid w:val="00962D4B"/>
    <w:rsid w:val="009705A1"/>
    <w:rsid w:val="009776C0"/>
    <w:rsid w:val="009777EC"/>
    <w:rsid w:val="0098072D"/>
    <w:rsid w:val="00986990"/>
    <w:rsid w:val="00996EA6"/>
    <w:rsid w:val="009A1E66"/>
    <w:rsid w:val="009A478A"/>
    <w:rsid w:val="009A5E39"/>
    <w:rsid w:val="009A71DD"/>
    <w:rsid w:val="009A799F"/>
    <w:rsid w:val="009B2B28"/>
    <w:rsid w:val="009D1DD2"/>
    <w:rsid w:val="009D450E"/>
    <w:rsid w:val="009D4B03"/>
    <w:rsid w:val="009D6867"/>
    <w:rsid w:val="009D7769"/>
    <w:rsid w:val="009E1FAA"/>
    <w:rsid w:val="009E4DBF"/>
    <w:rsid w:val="009E582F"/>
    <w:rsid w:val="009F43A2"/>
    <w:rsid w:val="009F66AC"/>
    <w:rsid w:val="00A0043D"/>
    <w:rsid w:val="00A1597D"/>
    <w:rsid w:val="00A15D3C"/>
    <w:rsid w:val="00A27E00"/>
    <w:rsid w:val="00A50A0A"/>
    <w:rsid w:val="00A6537E"/>
    <w:rsid w:val="00A67791"/>
    <w:rsid w:val="00A710C8"/>
    <w:rsid w:val="00A7483E"/>
    <w:rsid w:val="00A801D8"/>
    <w:rsid w:val="00A8219F"/>
    <w:rsid w:val="00A87AAA"/>
    <w:rsid w:val="00AA20A4"/>
    <w:rsid w:val="00AB0584"/>
    <w:rsid w:val="00AB2826"/>
    <w:rsid w:val="00AE365F"/>
    <w:rsid w:val="00AE37A1"/>
    <w:rsid w:val="00AE4B1C"/>
    <w:rsid w:val="00AF60CD"/>
    <w:rsid w:val="00AF62AA"/>
    <w:rsid w:val="00B01371"/>
    <w:rsid w:val="00B06D7A"/>
    <w:rsid w:val="00B14D89"/>
    <w:rsid w:val="00B363BA"/>
    <w:rsid w:val="00B41A60"/>
    <w:rsid w:val="00B42D2A"/>
    <w:rsid w:val="00B43B43"/>
    <w:rsid w:val="00B47C17"/>
    <w:rsid w:val="00B57574"/>
    <w:rsid w:val="00B61ED5"/>
    <w:rsid w:val="00B64607"/>
    <w:rsid w:val="00B65D0C"/>
    <w:rsid w:val="00B77D9E"/>
    <w:rsid w:val="00B82F29"/>
    <w:rsid w:val="00B87BB9"/>
    <w:rsid w:val="00B903B5"/>
    <w:rsid w:val="00B96558"/>
    <w:rsid w:val="00BB112F"/>
    <w:rsid w:val="00BB343C"/>
    <w:rsid w:val="00BC1D49"/>
    <w:rsid w:val="00BC39D2"/>
    <w:rsid w:val="00BD20A3"/>
    <w:rsid w:val="00BD4BFD"/>
    <w:rsid w:val="00BD54EA"/>
    <w:rsid w:val="00BD67DA"/>
    <w:rsid w:val="00BF5356"/>
    <w:rsid w:val="00C206E6"/>
    <w:rsid w:val="00C234FD"/>
    <w:rsid w:val="00C33BB5"/>
    <w:rsid w:val="00C35A61"/>
    <w:rsid w:val="00C44E81"/>
    <w:rsid w:val="00C530D3"/>
    <w:rsid w:val="00C569C9"/>
    <w:rsid w:val="00C65B23"/>
    <w:rsid w:val="00C715D5"/>
    <w:rsid w:val="00C71880"/>
    <w:rsid w:val="00C74C79"/>
    <w:rsid w:val="00C77743"/>
    <w:rsid w:val="00C85488"/>
    <w:rsid w:val="00C85578"/>
    <w:rsid w:val="00C87053"/>
    <w:rsid w:val="00C900E4"/>
    <w:rsid w:val="00CA6345"/>
    <w:rsid w:val="00CB2412"/>
    <w:rsid w:val="00CB7873"/>
    <w:rsid w:val="00CC5D3B"/>
    <w:rsid w:val="00CD68BD"/>
    <w:rsid w:val="00CE05A5"/>
    <w:rsid w:val="00CE5358"/>
    <w:rsid w:val="00CE5A93"/>
    <w:rsid w:val="00CF0A1B"/>
    <w:rsid w:val="00CF413F"/>
    <w:rsid w:val="00CF64F6"/>
    <w:rsid w:val="00D10521"/>
    <w:rsid w:val="00D14772"/>
    <w:rsid w:val="00D162FB"/>
    <w:rsid w:val="00D211A6"/>
    <w:rsid w:val="00D344AD"/>
    <w:rsid w:val="00D524A0"/>
    <w:rsid w:val="00D70532"/>
    <w:rsid w:val="00D77E26"/>
    <w:rsid w:val="00D8671F"/>
    <w:rsid w:val="00DA6410"/>
    <w:rsid w:val="00DB0970"/>
    <w:rsid w:val="00DB17FA"/>
    <w:rsid w:val="00DB1B40"/>
    <w:rsid w:val="00DB1CED"/>
    <w:rsid w:val="00DB7861"/>
    <w:rsid w:val="00DC4242"/>
    <w:rsid w:val="00DC67AF"/>
    <w:rsid w:val="00DD7309"/>
    <w:rsid w:val="00DE6CA1"/>
    <w:rsid w:val="00DF39D3"/>
    <w:rsid w:val="00DF4A1C"/>
    <w:rsid w:val="00E025A0"/>
    <w:rsid w:val="00E067F9"/>
    <w:rsid w:val="00E20D67"/>
    <w:rsid w:val="00E20E68"/>
    <w:rsid w:val="00E26BD6"/>
    <w:rsid w:val="00E31140"/>
    <w:rsid w:val="00E349D6"/>
    <w:rsid w:val="00E361F6"/>
    <w:rsid w:val="00E477B8"/>
    <w:rsid w:val="00E67311"/>
    <w:rsid w:val="00E71A74"/>
    <w:rsid w:val="00E71FA8"/>
    <w:rsid w:val="00E81DC4"/>
    <w:rsid w:val="00E92D1C"/>
    <w:rsid w:val="00E93468"/>
    <w:rsid w:val="00EB3A72"/>
    <w:rsid w:val="00EC229A"/>
    <w:rsid w:val="00EC6CDA"/>
    <w:rsid w:val="00ED634A"/>
    <w:rsid w:val="00EE25A3"/>
    <w:rsid w:val="00EE41D4"/>
    <w:rsid w:val="00EE5344"/>
    <w:rsid w:val="00EE6580"/>
    <w:rsid w:val="00EF4F29"/>
    <w:rsid w:val="00EF7CE4"/>
    <w:rsid w:val="00F05B0A"/>
    <w:rsid w:val="00F07DD9"/>
    <w:rsid w:val="00F17163"/>
    <w:rsid w:val="00F259AA"/>
    <w:rsid w:val="00F3522E"/>
    <w:rsid w:val="00F75DF6"/>
    <w:rsid w:val="00F85404"/>
    <w:rsid w:val="00FA0368"/>
    <w:rsid w:val="00FA41EC"/>
    <w:rsid w:val="00FA4885"/>
    <w:rsid w:val="00FB02DC"/>
    <w:rsid w:val="00FB1BBB"/>
    <w:rsid w:val="00FB1C76"/>
    <w:rsid w:val="00FC2073"/>
    <w:rsid w:val="00FC45E5"/>
    <w:rsid w:val="00FE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B4CD0"/>
  <w15:docId w15:val="{BB69913B-6867-43D4-9F47-04788E22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D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3468"/>
    <w:pPr>
      <w:tabs>
        <w:tab w:val="center" w:pos="4677"/>
        <w:tab w:val="right" w:pos="9355"/>
      </w:tabs>
    </w:pPr>
  </w:style>
  <w:style w:type="paragraph" w:styleId="a4">
    <w:name w:val="footer"/>
    <w:basedOn w:val="a"/>
    <w:rsid w:val="00E93468"/>
    <w:pPr>
      <w:tabs>
        <w:tab w:val="center" w:pos="4677"/>
        <w:tab w:val="right" w:pos="9355"/>
      </w:tabs>
    </w:pPr>
  </w:style>
  <w:style w:type="table" w:styleId="a5">
    <w:name w:val="Table Grid"/>
    <w:basedOn w:val="a1"/>
    <w:rsid w:val="0015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64607"/>
    <w:rPr>
      <w:rFonts w:ascii="Tahoma" w:hAnsi="Tahoma" w:cs="Tahoma"/>
      <w:sz w:val="16"/>
      <w:szCs w:val="16"/>
    </w:rPr>
  </w:style>
  <w:style w:type="character" w:customStyle="1" w:styleId="a7">
    <w:name w:val="Текст выноски Знак"/>
    <w:basedOn w:val="a0"/>
    <w:link w:val="a6"/>
    <w:rsid w:val="00B64607"/>
    <w:rPr>
      <w:rFonts w:ascii="Tahoma" w:hAnsi="Tahoma" w:cs="Tahoma"/>
      <w:sz w:val="16"/>
      <w:szCs w:val="16"/>
    </w:rPr>
  </w:style>
  <w:style w:type="paragraph" w:styleId="a8">
    <w:name w:val="List Paragraph"/>
    <w:basedOn w:val="a"/>
    <w:uiPriority w:val="99"/>
    <w:unhideWhenUsed/>
    <w:rsid w:val="00B01371"/>
    <w:pPr>
      <w:spacing w:after="200" w:line="276" w:lineRule="auto"/>
      <w:ind w:left="720"/>
      <w:contextualSpacing/>
    </w:pPr>
    <w:rPr>
      <w:rFonts w:asciiTheme="minorHAnsi" w:eastAsiaTheme="minorEastAsia" w:hAnsiTheme="minorHAnsi" w:cstheme="minorBidi"/>
      <w:sz w:val="20"/>
      <w:szCs w:val="20"/>
      <w:lang w:val="en-US" w:eastAsia="zh-CN"/>
    </w:rPr>
  </w:style>
  <w:style w:type="character" w:styleId="a9">
    <w:name w:val="Hyperlink"/>
    <w:uiPriority w:val="99"/>
    <w:unhideWhenUsed/>
    <w:rsid w:val="0025373B"/>
    <w:rPr>
      <w:color w:val="0000FF"/>
      <w:u w:val="single"/>
    </w:rPr>
  </w:style>
  <w:style w:type="paragraph" w:customStyle="1" w:styleId="Default">
    <w:name w:val="Default"/>
    <w:rsid w:val="004257D9"/>
    <w:pPr>
      <w:autoSpaceDE w:val="0"/>
      <w:autoSpaceDN w:val="0"/>
      <w:adjustRightInd w:val="0"/>
    </w:pPr>
    <w:rPr>
      <w:rFonts w:ascii="Mipgost" w:hAnsi="Mipgost" w:cs="Mipgos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1682">
      <w:bodyDiv w:val="1"/>
      <w:marLeft w:val="0"/>
      <w:marRight w:val="0"/>
      <w:marTop w:val="0"/>
      <w:marBottom w:val="0"/>
      <w:divBdr>
        <w:top w:val="none" w:sz="0" w:space="0" w:color="auto"/>
        <w:left w:val="none" w:sz="0" w:space="0" w:color="auto"/>
        <w:bottom w:val="none" w:sz="0" w:space="0" w:color="auto"/>
        <w:right w:val="none" w:sz="0" w:space="0" w:color="auto"/>
      </w:divBdr>
    </w:div>
    <w:div w:id="1523975958">
      <w:bodyDiv w:val="1"/>
      <w:marLeft w:val="0"/>
      <w:marRight w:val="0"/>
      <w:marTop w:val="0"/>
      <w:marBottom w:val="0"/>
      <w:divBdr>
        <w:top w:val="none" w:sz="0" w:space="0" w:color="auto"/>
        <w:left w:val="none" w:sz="0" w:space="0" w:color="auto"/>
        <w:bottom w:val="none" w:sz="0" w:space="0" w:color="auto"/>
        <w:right w:val="none" w:sz="0" w:space="0" w:color="auto"/>
      </w:divBdr>
    </w:div>
    <w:div w:id="18495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pii\Desktop\&#1064;&#1072;&#1073;&#1083;&#1086;&#1085;&#1099;%202015\Doc%2027%2012%20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 27 12 10</Template>
  <TotalTime>0</TotalTime>
  <Pages>9</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dc:creator>
  <cp:lastModifiedBy>Аббасова Наталья Анатольевна</cp:lastModifiedBy>
  <cp:revision>2</cp:revision>
  <cp:lastPrinted>2019-03-13T02:17:00Z</cp:lastPrinted>
  <dcterms:created xsi:type="dcterms:W3CDTF">2020-02-13T10:13:00Z</dcterms:created>
  <dcterms:modified xsi:type="dcterms:W3CDTF">2020-02-13T10:13:00Z</dcterms:modified>
</cp:coreProperties>
</file>