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958" w:rsidRDefault="00916EE1">
      <w:pPr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 5</w:t>
      </w:r>
    </w:p>
    <w:p w:rsidR="00011958" w:rsidRDefault="00011958">
      <w:pPr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1958" w:rsidRDefault="00916EE1">
      <w:pPr>
        <w:spacing w:after="0" w:line="240" w:lineRule="auto"/>
        <w:ind w:left="4536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011958" w:rsidRDefault="00916EE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</w:t>
      </w:r>
    </w:p>
    <w:p w:rsidR="00011958" w:rsidRDefault="00916EE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</w:t>
      </w:r>
    </w:p>
    <w:p w:rsidR="00011958" w:rsidRDefault="00916EE1">
      <w:pPr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энергетики Новосибирской области</w:t>
      </w:r>
    </w:p>
    <w:p w:rsidR="00011958" w:rsidRDefault="00916EE1">
      <w:pPr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120C05">
        <w:rPr>
          <w:rFonts w:ascii="Times New Roman" w:hAnsi="Times New Roman" w:cs="Times New Roman"/>
          <w:sz w:val="28"/>
          <w:szCs w:val="28"/>
        </w:rPr>
        <w:t xml:space="preserve"> 05.06.2025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20C05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>-НПА</w:t>
      </w:r>
    </w:p>
    <w:p w:rsidR="00011958" w:rsidRDefault="00011958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11958" w:rsidRDefault="00011958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916E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ДОКУМЕНТАЦИЯ О ПРОВЕДЕНИИ ПРЕДВАРИТЕЛЬНОГО ОТБОРА</w:t>
      </w:r>
    </w:p>
    <w:p w:rsidR="00011958" w:rsidRDefault="00916E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№ 2.5-2025-ПО</w:t>
      </w:r>
    </w:p>
    <w:p w:rsidR="00011958" w:rsidRDefault="00916E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eastAsia="Calibri" w:hAnsi="Times New Roman" w:cs="Times New Roman"/>
          <w:b/>
          <w:sz w:val="24"/>
          <w:szCs w:val="24"/>
        </w:rPr>
        <w:t>предмету предварительного отбора «Оказание услуг и (или) выполнение работ по ремонту, замене, модернизации лифтов, ремонту лифтовых шахт, машинных и блочных помещений»</w:t>
      </w: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11958" w:rsidRDefault="00011958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11958" w:rsidRDefault="00916E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г. Новосибирск, 2025 г.</w:t>
      </w:r>
    </w:p>
    <w:p w:rsidR="00011958" w:rsidRDefault="00916EE1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</w:p>
    <w:p w:rsidR="00011958" w:rsidRDefault="00011958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916EE1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Орган по ведению </w:t>
      </w:r>
      <w:r>
        <w:rPr>
          <w:rFonts w:ascii="Times New Roman" w:eastAsia="Calibri" w:hAnsi="Times New Roman" w:cs="Times New Roman"/>
          <w:sz w:val="24"/>
          <w:szCs w:val="24"/>
        </w:rPr>
        <w:t>реестра квалифицированных подрядных организаций (далее – Орган по ведению РКПО) – министерство жилищно-коммунального хозяйства и энергетики Новосибирской области.</w:t>
      </w:r>
    </w:p>
    <w:p w:rsidR="00011958" w:rsidRDefault="00916EE1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W w:w="9911" w:type="dxa"/>
        <w:tblLayout w:type="fixed"/>
        <w:tblLook w:val="04A0" w:firstRow="1" w:lastRow="0" w:firstColumn="1" w:lastColumn="0" w:noHBand="0" w:noVBand="1"/>
      </w:tblPr>
      <w:tblGrid>
        <w:gridCol w:w="697"/>
        <w:gridCol w:w="4117"/>
        <w:gridCol w:w="5097"/>
      </w:tblGrid>
      <w:tr w:rsidR="00011958">
        <w:tc>
          <w:tcPr>
            <w:tcW w:w="697" w:type="dxa"/>
            <w:shd w:val="clear" w:color="auto" w:fill="FFFFFF"/>
            <w:vAlign w:val="center"/>
          </w:tcPr>
          <w:p w:rsidR="00011958" w:rsidRDefault="00916EE1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214" w:type="dxa"/>
            <w:gridSpan w:val="2"/>
            <w:shd w:val="clear" w:color="auto" w:fill="FFFFFF"/>
            <w:vAlign w:val="center"/>
          </w:tcPr>
          <w:p w:rsidR="00011958" w:rsidRDefault="00916EE1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 проведении предварительного отбора</w:t>
            </w:r>
          </w:p>
        </w:tc>
      </w:tr>
      <w:tr w:rsidR="00011958">
        <w:tc>
          <w:tcPr>
            <w:tcW w:w="9911" w:type="dxa"/>
            <w:gridSpan w:val="3"/>
            <w:shd w:val="clear" w:color="auto" w:fill="FFFFFF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Сведения об Органе по ведению РКПО </w:t>
            </w:r>
          </w:p>
        </w:tc>
      </w:tr>
      <w:tr w:rsidR="00011958">
        <w:tc>
          <w:tcPr>
            <w:tcW w:w="697" w:type="dxa"/>
            <w:shd w:val="clear" w:color="auto" w:fill="FFFFFF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117" w:type="dxa"/>
            <w:shd w:val="clear" w:color="auto" w:fill="FFFFFF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097" w:type="dxa"/>
            <w:shd w:val="clear" w:color="auto" w:fill="FFFFFF" w:themeFill="background1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</w:tr>
      <w:tr w:rsidR="00011958">
        <w:tc>
          <w:tcPr>
            <w:tcW w:w="697" w:type="dxa"/>
            <w:shd w:val="clear" w:color="auto" w:fill="FFFFFF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117" w:type="dxa"/>
            <w:shd w:val="clear" w:color="auto" w:fill="FFFFFF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5097" w:type="dxa"/>
            <w:shd w:val="clear" w:color="auto" w:fill="FFFFFF" w:themeFill="background1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630091, г. Новосибирск, ул. Фрунзе, 5, оф. 639</w:t>
            </w:r>
          </w:p>
        </w:tc>
      </w:tr>
      <w:tr w:rsidR="00011958">
        <w:tc>
          <w:tcPr>
            <w:tcW w:w="697" w:type="dxa"/>
            <w:shd w:val="clear" w:color="auto" w:fill="FFFFFF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117" w:type="dxa"/>
            <w:shd w:val="clear" w:color="auto" w:fill="FFFFFF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5097" w:type="dxa"/>
            <w:shd w:val="clear" w:color="auto" w:fill="FFFFFF" w:themeFill="background1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630091, г. Новосибирск, ул.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Фрунзе, 5, оф. 639</w:t>
            </w:r>
          </w:p>
        </w:tc>
      </w:tr>
      <w:tr w:rsidR="00011958">
        <w:tc>
          <w:tcPr>
            <w:tcW w:w="697" w:type="dxa"/>
            <w:shd w:val="clear" w:color="auto" w:fill="FFFFFF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117" w:type="dxa"/>
            <w:shd w:val="clear" w:color="auto" w:fill="FFFFFF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097" w:type="dxa"/>
            <w:shd w:val="clear" w:color="auto" w:fill="FFFFFF" w:themeFill="background1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5406793110</w:t>
            </w:r>
          </w:p>
        </w:tc>
      </w:tr>
      <w:tr w:rsidR="00011958">
        <w:tc>
          <w:tcPr>
            <w:tcW w:w="697" w:type="dxa"/>
            <w:shd w:val="clear" w:color="auto" w:fill="FFFFFF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117" w:type="dxa"/>
            <w:shd w:val="clear" w:color="auto" w:fill="FFFFFF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5097" w:type="dxa"/>
            <w:shd w:val="clear" w:color="auto" w:fill="FFFFFF" w:themeFill="background1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mingkh@nso.ru</w:t>
            </w:r>
          </w:p>
        </w:tc>
      </w:tr>
      <w:tr w:rsidR="00011958">
        <w:tc>
          <w:tcPr>
            <w:tcW w:w="697" w:type="dxa"/>
            <w:shd w:val="clear" w:color="auto" w:fill="FFFFFF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117" w:type="dxa"/>
            <w:shd w:val="clear" w:color="auto" w:fill="FFFFFF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5097" w:type="dxa"/>
            <w:shd w:val="clear" w:color="auto" w:fill="FFFFFF" w:themeFill="background1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(383) 238-76-53</w:t>
            </w:r>
          </w:p>
        </w:tc>
      </w:tr>
      <w:tr w:rsidR="00011958">
        <w:tc>
          <w:tcPr>
            <w:tcW w:w="697" w:type="dxa"/>
            <w:shd w:val="clear" w:color="auto" w:fill="FFFFFF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117" w:type="dxa"/>
            <w:shd w:val="clear" w:color="auto" w:fill="FFFFFF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</w:t>
            </w:r>
          </w:p>
        </w:tc>
        <w:tc>
          <w:tcPr>
            <w:tcW w:w="5097" w:type="dxa"/>
            <w:shd w:val="clear" w:color="auto" w:fill="FFFFFF" w:themeFill="background1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Манске Инга Геннадьевна</w:t>
            </w:r>
          </w:p>
        </w:tc>
      </w:tr>
      <w:tr w:rsidR="00011958">
        <w:tc>
          <w:tcPr>
            <w:tcW w:w="697" w:type="dxa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7" w:type="dxa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предварительного отбора</w:t>
            </w:r>
          </w:p>
        </w:tc>
        <w:tc>
          <w:tcPr>
            <w:tcW w:w="5097" w:type="dxa"/>
            <w:shd w:val="clear" w:color="auto" w:fill="FFFFFF" w:themeFill="background1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Оказание услуг и (или) выполнение работ по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ремонту, замене, модернизации лифтов, ремонту лифтовых шахт, машинных и блочных помещений</w:t>
            </w:r>
          </w:p>
        </w:tc>
      </w:tr>
      <w:tr w:rsidR="00011958">
        <w:tc>
          <w:tcPr>
            <w:tcW w:w="697" w:type="dxa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7" w:type="dxa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предварительного отбора</w:t>
            </w:r>
          </w:p>
        </w:tc>
        <w:tc>
          <w:tcPr>
            <w:tcW w:w="5097" w:type="dxa"/>
            <w:shd w:val="clear" w:color="auto" w:fill="FFFFFF" w:themeFill="background1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2.5-2025-ПО</w:t>
            </w:r>
          </w:p>
        </w:tc>
      </w:tr>
      <w:tr w:rsidR="00011958">
        <w:tc>
          <w:tcPr>
            <w:tcW w:w="697" w:type="dxa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7" w:type="dxa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Официальный сайт, на котором размещена документация о проведении предварительного отбора</w:t>
            </w:r>
          </w:p>
        </w:tc>
        <w:tc>
          <w:tcPr>
            <w:tcW w:w="5097" w:type="dxa"/>
            <w:shd w:val="clear" w:color="auto" w:fill="FFFFFF" w:themeFill="background1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http://www.mjkh.nso.ru/</w:t>
            </w:r>
          </w:p>
        </w:tc>
      </w:tr>
      <w:tr w:rsidR="00011958">
        <w:tc>
          <w:tcPr>
            <w:tcW w:w="697" w:type="dxa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7" w:type="dxa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сайта оператора электронной площадки</w:t>
            </w:r>
          </w:p>
        </w:tc>
        <w:tc>
          <w:tcPr>
            <w:tcW w:w="5097" w:type="dxa"/>
            <w:shd w:val="clear" w:color="auto" w:fill="FFFFFF" w:themeFill="background1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http://www.rts-tender.ru/</w:t>
            </w:r>
          </w:p>
        </w:tc>
      </w:tr>
      <w:tr w:rsidR="00011958">
        <w:tc>
          <w:tcPr>
            <w:tcW w:w="697" w:type="dxa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7" w:type="dxa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действия результатов предварительного отбора</w:t>
            </w:r>
          </w:p>
        </w:tc>
        <w:tc>
          <w:tcPr>
            <w:tcW w:w="5097" w:type="dxa"/>
            <w:shd w:val="clear" w:color="auto" w:fill="FFFFFF" w:themeFill="background1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года</w:t>
            </w:r>
          </w:p>
        </w:tc>
      </w:tr>
      <w:tr w:rsidR="00011958">
        <w:tc>
          <w:tcPr>
            <w:tcW w:w="697" w:type="dxa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7" w:type="dxa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и время начала срока подачи заявок на участие в предварительном отборе</w:t>
            </w:r>
          </w:p>
        </w:tc>
        <w:tc>
          <w:tcPr>
            <w:tcW w:w="5097" w:type="dxa"/>
            <w:shd w:val="clear" w:color="auto" w:fill="FFFFFF" w:themeFill="background1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06 июня 2025 года, </w:t>
            </w:r>
          </w:p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часов 00 минут</w:t>
            </w:r>
          </w:p>
        </w:tc>
      </w:tr>
      <w:tr w:rsidR="00011958">
        <w:tc>
          <w:tcPr>
            <w:tcW w:w="697" w:type="dxa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7" w:type="dxa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и время окончания срока подачи заявок на участие в предварительном отборе</w:t>
            </w:r>
          </w:p>
        </w:tc>
        <w:tc>
          <w:tcPr>
            <w:tcW w:w="5097" w:type="dxa"/>
            <w:shd w:val="clear" w:color="auto" w:fill="FFFFFF" w:themeFill="background1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июня 2025 года, </w:t>
            </w:r>
          </w:p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часов 00 минут</w:t>
            </w:r>
          </w:p>
        </w:tc>
      </w:tr>
      <w:tr w:rsidR="00011958">
        <w:tc>
          <w:tcPr>
            <w:tcW w:w="697" w:type="dxa"/>
          </w:tcPr>
          <w:p w:rsidR="00011958" w:rsidRDefault="00916EE1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4117" w:type="dxa"/>
          </w:tcPr>
          <w:p w:rsidR="00011958" w:rsidRDefault="00916EE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окончания рассмотрения заявок на участие в предварительном отборе</w:t>
            </w:r>
          </w:p>
        </w:tc>
        <w:tc>
          <w:tcPr>
            <w:tcW w:w="5097" w:type="dxa"/>
            <w:shd w:val="clear" w:color="auto" w:fill="FFFFFF" w:themeFill="background1"/>
          </w:tcPr>
          <w:p w:rsidR="00011958" w:rsidRDefault="00916EE1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июля 2025 года</w:t>
            </w:r>
          </w:p>
        </w:tc>
      </w:tr>
    </w:tbl>
    <w:p w:rsidR="00011958" w:rsidRDefault="00011958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11958" w:rsidRDefault="00916EE1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>Требования к оказанию услуг и (или) вып</w:t>
      </w:r>
      <w:r>
        <w:rPr>
          <w:rFonts w:ascii="Times New Roman" w:eastAsia="Calibri" w:hAnsi="Times New Roman" w:cs="Times New Roman"/>
          <w:b/>
          <w:sz w:val="24"/>
          <w:szCs w:val="24"/>
        </w:rPr>
        <w:t>олнению работ по капитальному ремонту общего имущества в многоквартирном доме</w:t>
      </w:r>
    </w:p>
    <w:p w:rsidR="00011958" w:rsidRDefault="00011958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6946"/>
      </w:tblGrid>
      <w:tr w:rsidR="00011958">
        <w:trPr>
          <w:trHeight w:val="458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11958" w:rsidRDefault="00916EE1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11958" w:rsidRDefault="00916EE1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11958" w:rsidRDefault="00916EE1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</w:tr>
      <w:tr w:rsidR="00011958">
        <w:trPr>
          <w:trHeight w:val="164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11958">
        <w:trPr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Общие требования к выполнению работ (услуг) подрядной организацией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и (или) выполнение работ по ремонту, замене,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модернизации лифтов, ремонту лифтовых шахт, машинных и блочных помещений (далее – работы) осуществляются на основании предоставленной заказчиком электронного аукциона (далее – Заказчик) исходно-разрешительной документации: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протокол общего собрания или 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шение органа местного самоуправления;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региональная программа капитального ремонта;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другая исходно-разрешительная документация, необходимая для выполнения работ.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 производстве работ подрядная организация должна руководствоваться проектной документ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ацией, законодательством Российской Федерации и производить работы в соответствии с требованиями действующих нормативных документов, в том числе: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Градостроительный кодекс Российской Федерации;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Земельный кодекс Российской Федерации;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Жилищный кодекс 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ссийской Федерации;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 Федеральный закон от 23.12.2009 № 384-ФЗ «Техническ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регламент о безопасности зданий и сооружений»;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23.12.2009 № 384-ФЗ «Технический регламент о безопасности зданий и сооружений»;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22.07.2008 № 123-ФЗ «Технический регламент о требованиях пожарной безопасности»;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постановление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Технический регламент Таможенного союза «Безопасность лифтов» (ТР ТС 011/2011, утвержденный 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Комиссии Таможенного союза от 18.10.2011 №824);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ГОСТ Р 53780-2010 «Лифты. Общие требования безопасности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устройству и установке»;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ГОСТ Р 53782-2010 «Лифты. Правила и методы оценки соответствия лифтов при вводе в эксплуатацию»;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ГОСТ Р 53783-2010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Лифты. Правила и методы оценки соответствия лифтов в период эксплуатации»;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СНиП 82-01-95«Разработка и применение норм и нормативов расхода материальных ресурсов в строительстве. Основные положения»; 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СНиП 3.01.04-87«Приемка в эксплуатацию законченных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троительством объектов.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Основные положения»; 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СП 48.13330.2011 «Организация строительства. Актуализированная редакция СНиП 12-01-2004»; 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Федеральный закон от 21.07.1997 №116-ФЗ «О промышленной безопасности опасных производственных объектов»;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ГОСТ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2845-85 «Лифты электрические пассажирские и грузовые. Правила организации, производства и приемки монтажных работ»; 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ГОСТ 12.1.004-08 «Пожарная безопасность. Общие требования»;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СНиП 12-03-2001 «Безопасность труда в строительстве. Часть 1. Общие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требования»;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СНиП 12-04-2002 «Безопасность труда в строительстве. Часть 2. Строительное производство»;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СП 31-110-2003 «Проектирование и монтаж электроустановок жилых и общественных зданий»;</w:t>
            </w:r>
          </w:p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РД 22-19-124-86 «Инструкция по защитному заземлению (занулен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ию) в лифтах общего назначения».</w:t>
            </w:r>
          </w:p>
          <w:p w:rsidR="00011958" w:rsidRDefault="0091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Данный перечень нормативных правовых актов уточняется в документации об электронном аукционе в зависимости от состава работ, предусмотренных региональной программой капитального ремонта общего имущества в многоквартирных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мах (далее – МКД) на территории Новосибирской области.</w:t>
            </w:r>
          </w:p>
        </w:tc>
      </w:tr>
      <w:tr w:rsidR="00011958">
        <w:trPr>
          <w:trHeight w:val="4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требования к работам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соответствии с документацией об электронном аукционе.</w:t>
            </w:r>
          </w:p>
        </w:tc>
      </w:tr>
      <w:tr w:rsidR="00011958">
        <w:trPr>
          <w:trHeight w:val="4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организации и приемке выполненных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проводятся в МКД без отселения проживающих,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соблюдением всех требований действующего законодательства. Приемка выполненных работ осуществляется согласно исполнительной документации, актов формы КС-2, КС-3, согласованных в соответствии с требованиями ст. 190 Жилищного кодекса Российской Федерации и 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ругих нормативно-правовых  документов, действующих на территории Российской Федерации.</w:t>
            </w:r>
          </w:p>
        </w:tc>
      </w:tr>
      <w:tr w:rsidR="00011958">
        <w:trPr>
          <w:trHeight w:val="4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Требование к календарному плану работ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Работы должны проводиться в соответствии с прилагаемым к договору о проведении капитального ремонта (далее- договор) календарным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планом (графиком выполнения работ).</w:t>
            </w:r>
          </w:p>
        </w:tc>
      </w:tr>
      <w:tr w:rsidR="00011958">
        <w:trPr>
          <w:trHeight w:val="4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Требования к качеству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используемых в ходе работ материалов и оборудования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При производстве работ подрядная организация должна использовать материалы, имеющие сертификаты качества (паспорта на материалы и оборудование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). Качество используемых материалов должно соответствовать действующим ГОСТ, ТУ. Сроки эксплуатации оборудования - не менее указанных в паспорте завода изготовителя.</w:t>
            </w:r>
          </w:p>
        </w:tc>
      </w:tr>
      <w:tr w:rsidR="00011958">
        <w:trPr>
          <w:trHeight w:val="4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Технические характеристики материалов и оборудования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1958" w:rsidRDefault="00916E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1.Количественные и технические хар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актеристики используемых материалов и оборудования – в соответствии с локальными сметами.</w:t>
            </w:r>
          </w:p>
          <w:p w:rsidR="00011958" w:rsidRDefault="00916EE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указания на товарные знаки применяемых материалов следует читать «или эквивалент» (при согласовании с Заказчиком).</w:t>
            </w:r>
          </w:p>
        </w:tc>
      </w:tr>
    </w:tbl>
    <w:p w:rsidR="00011958" w:rsidRDefault="00011958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before="120" w:after="0" w:line="240" w:lineRule="auto"/>
        <w:ind w:left="4185"/>
        <w:contextualSpacing/>
        <w:jc w:val="center"/>
        <w:outlineLvl w:val="1"/>
        <w:rPr>
          <w:rFonts w:ascii="Times New Roman" w:eastAsia="Calibri" w:hAnsi="Times New Roman" w:cs="Times New Roman"/>
          <w:vanish/>
          <w:sz w:val="24"/>
          <w:szCs w:val="24"/>
        </w:rPr>
      </w:pPr>
    </w:p>
    <w:p w:rsidR="00011958" w:rsidRDefault="00916EE1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Сведения о существенных </w:t>
      </w:r>
      <w:r>
        <w:rPr>
          <w:rFonts w:ascii="Times New Roman" w:eastAsia="Calibri" w:hAnsi="Times New Roman" w:cs="Times New Roman"/>
          <w:b/>
          <w:sz w:val="24"/>
          <w:szCs w:val="24"/>
        </w:rPr>
        <w:t>условиях договора строительного подряда</w:t>
      </w: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0"/>
        <w:gridCol w:w="2409"/>
        <w:gridCol w:w="6976"/>
      </w:tblGrid>
      <w:tr w:rsidR="00011958">
        <w:trPr>
          <w:tblHeader/>
        </w:trPr>
        <w:tc>
          <w:tcPr>
            <w:tcW w:w="680" w:type="dxa"/>
            <w:shd w:val="clear" w:color="auto" w:fill="F2F2F2"/>
            <w:vAlign w:val="center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Условие</w:t>
            </w:r>
          </w:p>
        </w:tc>
        <w:tc>
          <w:tcPr>
            <w:tcW w:w="6976" w:type="dxa"/>
            <w:shd w:val="clear" w:color="auto" w:fill="F2F2F2"/>
            <w:vAlign w:val="center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условия</w:t>
            </w:r>
          </w:p>
        </w:tc>
      </w:tr>
      <w:tr w:rsidR="00011958">
        <w:trPr>
          <w:tblHeader/>
        </w:trPr>
        <w:tc>
          <w:tcPr>
            <w:tcW w:w="680" w:type="dxa"/>
            <w:shd w:val="clear" w:color="auto" w:fill="F2F2F2"/>
            <w:vAlign w:val="center"/>
          </w:tcPr>
          <w:p w:rsidR="00011958" w:rsidRDefault="000119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2409" w:type="dxa"/>
            <w:shd w:val="clear" w:color="auto" w:fill="F2F2F2"/>
            <w:vAlign w:val="center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1</w:t>
            </w:r>
          </w:p>
        </w:tc>
        <w:tc>
          <w:tcPr>
            <w:tcW w:w="6976" w:type="dxa"/>
            <w:shd w:val="clear" w:color="auto" w:fill="F2F2F2"/>
            <w:vAlign w:val="center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2</w:t>
            </w:r>
          </w:p>
        </w:tc>
      </w:tr>
      <w:tr w:rsidR="00011958">
        <w:tc>
          <w:tcPr>
            <w:tcW w:w="680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6976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Фонд модернизации и развития жилищно-коммунального хозяйства муниципальных образований Новосибирской области</w:t>
            </w:r>
          </w:p>
        </w:tc>
      </w:tr>
      <w:tr w:rsidR="00011958">
        <w:tc>
          <w:tcPr>
            <w:tcW w:w="680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6976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Полная замена лифтового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оборудования, признанного непригодным для эксплуатации.</w:t>
            </w:r>
          </w:p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Ремонт при необходимости шахт, замена приставных шахт.</w:t>
            </w:r>
          </w:p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Ремонт машинных помещений.</w:t>
            </w:r>
          </w:p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Ремонт, замена элементов автоматизации и диспетчеризация лифтового оборудования.</w:t>
            </w:r>
          </w:p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Оборудование устройств, 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еобходимых для подключения к действующим системам, автоматизация и диспетчеризация лифтового оборудования.</w:t>
            </w:r>
          </w:p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Пусконаладочные работы и техническое освидетельствование.</w:t>
            </w:r>
          </w:p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Работы (услуги) будут выполняться (оказываться) подрядной организацией в отношении объек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тов, указанных в ориентировочном адресном перечне, размещенном на сайте в информационно-коммуникационной сети «Интернет» </w:t>
            </w:r>
            <w:hyperlink r:id="rId8" w:tgtFrame="http://www.mjkh.nso.ru/page/724.">
              <w:r>
                <w:rPr>
                  <w:rStyle w:val="a5"/>
                  <w:rFonts w:ascii="Times New Roman" w:eastAsia="Calibri" w:hAnsi="Times New Roman" w:cs="Times New Roman"/>
                  <w:sz w:val="24"/>
                  <w:szCs w:val="24"/>
                </w:rPr>
                <w:t>http://www.mjkh.nso.ru/page/724.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highlight w:val="white"/>
              </w:rPr>
              <w:t>Указанные ор</w:t>
            </w: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highlight w:val="white"/>
              </w:rPr>
              <w:t>иентировочные перечни могут быть скорректированы в соответствии с требованиями действующего жилищного законодательства.</w:t>
            </w:r>
          </w:p>
        </w:tc>
      </w:tr>
      <w:tr w:rsidR="00011958">
        <w:tc>
          <w:tcPr>
            <w:tcW w:w="680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Цена договора</w:t>
            </w:r>
          </w:p>
        </w:tc>
        <w:tc>
          <w:tcPr>
            <w:tcW w:w="6976" w:type="dxa"/>
          </w:tcPr>
          <w:p w:rsidR="00011958" w:rsidRDefault="00916EE1">
            <w:pPr>
              <w:tabs>
                <w:tab w:val="left" w:pos="450"/>
              </w:tabs>
              <w:spacing w:after="0" w:line="240" w:lineRule="auto"/>
              <w:ind w:left="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Фиксированная. Определяется по итогам проведения электронного аукциона.</w:t>
            </w:r>
          </w:p>
          <w:p w:rsidR="00011958" w:rsidRDefault="00916EE1">
            <w:pPr>
              <w:tabs>
                <w:tab w:val="left" w:pos="450"/>
              </w:tabs>
              <w:spacing w:after="0" w:line="240" w:lineRule="auto"/>
              <w:ind w:left="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Не может превышать начальную (максимальну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ю) цену договора, указанную в документации о проведении электронного аукциона и извещении о проведении электронного аукциона.</w:t>
            </w:r>
          </w:p>
          <w:p w:rsidR="00011958" w:rsidRDefault="00916EE1">
            <w:pPr>
              <w:tabs>
                <w:tab w:val="left" w:pos="450"/>
              </w:tabs>
              <w:spacing w:after="0" w:line="240" w:lineRule="auto"/>
              <w:ind w:left="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Цена договора может быть увеличена по соглашению сторон в ходе его исполнения, но не более чем на 15 процентов в связи с пропор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циональным увеличением объема выполнения работ (услуг). </w:t>
            </w:r>
          </w:p>
          <w:p w:rsidR="00011958" w:rsidRDefault="00916EE1">
            <w:pPr>
              <w:tabs>
                <w:tab w:val="left" w:pos="45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4. Цена договора может быть снижена по соглашению сторон при уменьшении предусмотренных договором строительного подряда. </w:t>
            </w:r>
          </w:p>
        </w:tc>
      </w:tr>
      <w:tr w:rsidR="00011958">
        <w:tc>
          <w:tcPr>
            <w:tcW w:w="680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09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Порядок и сроки оплаты работ (услуг)</w:t>
            </w:r>
          </w:p>
        </w:tc>
        <w:tc>
          <w:tcPr>
            <w:tcW w:w="6976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Устанавливаются Заказчиком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документации об электронном аукционе.</w:t>
            </w:r>
          </w:p>
        </w:tc>
      </w:tr>
      <w:tr w:rsidR="00011958">
        <w:tc>
          <w:tcPr>
            <w:tcW w:w="680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Порядок и сроки выполнения работ (оказания услуг)</w:t>
            </w:r>
          </w:p>
        </w:tc>
        <w:tc>
          <w:tcPr>
            <w:tcW w:w="6976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Устанавливаются Заказчиком в документации об электронном аукционе.</w:t>
            </w:r>
          </w:p>
        </w:tc>
      </w:tr>
      <w:tr w:rsidR="00011958">
        <w:tc>
          <w:tcPr>
            <w:tcW w:w="680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Порядок и сроки приемки выполненных работ (оказанных услуг)</w:t>
            </w:r>
          </w:p>
        </w:tc>
        <w:tc>
          <w:tcPr>
            <w:tcW w:w="6976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Устанавливаются Заказчиком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документации об электронном аукционе.</w:t>
            </w:r>
          </w:p>
        </w:tc>
      </w:tr>
      <w:tr w:rsidR="00011958">
        <w:tc>
          <w:tcPr>
            <w:tcW w:w="680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Место выполнения работ (оказания услуг)</w:t>
            </w:r>
          </w:p>
        </w:tc>
        <w:tc>
          <w:tcPr>
            <w:tcW w:w="6976" w:type="dxa"/>
          </w:tcPr>
          <w:p w:rsidR="00011958" w:rsidRDefault="00916EE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Место выполнения работ (оказания услуг) устанавливается Заказчиком в документации о проведении электронного аукциона в пределах Новосибирской области.</w:t>
            </w:r>
          </w:p>
        </w:tc>
      </w:tr>
      <w:tr w:rsidR="00011958">
        <w:tc>
          <w:tcPr>
            <w:tcW w:w="680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исполнения договора</w:t>
            </w:r>
          </w:p>
        </w:tc>
        <w:tc>
          <w:tcPr>
            <w:tcW w:w="6976" w:type="dxa"/>
          </w:tcPr>
          <w:p w:rsidR="00011958" w:rsidRDefault="00916EE1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Исполнение обязательств по договору обеспечивается:</w:t>
            </w:r>
          </w:p>
          <w:p w:rsidR="00011958" w:rsidRDefault="00916E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независимой гарантией, выданной в соответствии с требованиями, предусмотренными </w:t>
            </w:r>
            <w:hyperlink r:id="rId9" w:tgtFrame="consultantplus://offline/ref=1A5ACDC7DDF8F0887A5F947293FE2CE5F6F787A58646A3FC26F6FA80EC4498F2B4F4B29DE25C6665B142ABBE2349634291F5A8A8AAE2S3H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частью 1 статьи 45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Федерального закона «О контра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ктной системе в сфере закупок товаров, работ, услуг для обеспечения государственных и муниципальных нужд» (далее - независимая гарантия);</w:t>
            </w:r>
          </w:p>
          <w:p w:rsidR="00011958" w:rsidRDefault="00916EE1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обеспечительным платежом.</w:t>
            </w:r>
          </w:p>
          <w:p w:rsidR="00011958" w:rsidRDefault="00916EE1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Способ обеспечения исполнения обязательств по договору определяется участником электро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нного аукциона, с которым заключается такой договор, самостоятельно из указанных в пункте 1 способов. </w:t>
            </w:r>
          </w:p>
          <w:p w:rsidR="00011958" w:rsidRDefault="00916EE1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Размер обеспечения исполнения договора о проведении капитального ремонта МКД указывается в извещении о проведении электронного аукциона.</w:t>
            </w:r>
          </w:p>
          <w:p w:rsidR="00011958" w:rsidRDefault="00916EE1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Размер обе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спечения исполнения договора не может превышать 30 (тридцать) процентов начальной (максимальной) цены договора, указанной в извещении о проведении электронного аукциона.</w:t>
            </w:r>
          </w:p>
          <w:p w:rsidR="00011958" w:rsidRDefault="00916EE1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Обеспечение исполнения договора может быть установлено в размере, превышающем в 2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аза размер обеспечения его исполнения, указанный в документации о проведении электронного аукциона, в случае, если при проведении электронного аукциона участником закупки, с которым заключается договор строительного подряда, предложена цена, которая на 20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более процентов ниже начальной (максимальной) цены договора.</w:t>
            </w:r>
          </w:p>
          <w:p w:rsidR="00011958" w:rsidRDefault="00916EE1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Независимая гарантия оформляется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действовать от имени организации, выдавшей независимую гарантию (далее - гарант), на условиях, определенных гражданским законодательством, и должна соответствовать следующим требованиям:</w:t>
            </w:r>
          </w:p>
          <w:p w:rsidR="00011958" w:rsidRDefault="00916EE1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а) быть безотзывной;</w:t>
            </w:r>
          </w:p>
          <w:p w:rsidR="00011958" w:rsidRDefault="00916EE1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требование к независимой гарантии может быт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строительного подряда и (или) в случае расторжения договора строительного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подряда;</w:t>
            </w:r>
          </w:p>
          <w:p w:rsidR="00011958" w:rsidRDefault="00916EE1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срок действия независимой гарантии должен превышать срок оказания услуг и (или) выполнения работ по договору строительного подряда не менее чем на 60 дней.</w:t>
            </w:r>
          </w:p>
          <w:p w:rsidR="00011958" w:rsidRDefault="00916E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Заказчик вправе не устанавливать требование обеспечения исполнения договора при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условии банковского сопровождения договора.</w:t>
            </w:r>
          </w:p>
          <w:p w:rsidR="00011958" w:rsidRDefault="00916EE1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документации о проведении электронного аукциона Заказчиком могут быть установлены дополнительные требования к обеспечению исполнения договора.</w:t>
            </w:r>
          </w:p>
        </w:tc>
      </w:tr>
      <w:tr w:rsidR="00011958">
        <w:tc>
          <w:tcPr>
            <w:tcW w:w="680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9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Гарантийный срок</w:t>
            </w:r>
          </w:p>
        </w:tc>
        <w:tc>
          <w:tcPr>
            <w:tcW w:w="6976" w:type="dxa"/>
          </w:tcPr>
          <w:p w:rsidR="00011958" w:rsidRDefault="00916EE1">
            <w:pPr>
              <w:widowControl w:val="0"/>
              <w:tabs>
                <w:tab w:val="left" w:pos="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Условия о гарантийном сроке определяются Зак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азчиком в документации о проведении электронного аукциона.</w:t>
            </w:r>
          </w:p>
          <w:p w:rsidR="00011958" w:rsidRDefault="00916EE1">
            <w:pPr>
              <w:widowControl w:val="0"/>
              <w:tabs>
                <w:tab w:val="left" w:pos="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Срок предоставления гарантий на оказанные услуги и (или) выполненные работы не может быть менее 5 лет со дня подписания соответствующего акта о приемке оказанных услуг и (или) выполненных работ.</w:t>
            </w:r>
          </w:p>
          <w:p w:rsidR="00011958" w:rsidRDefault="00916EE1">
            <w:pPr>
              <w:widowControl w:val="0"/>
              <w:tabs>
                <w:tab w:val="left" w:pos="6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договора, предусматривающие ответственность подрядной организации и Заказчика за неисполнение или ненадлежащее исполнение обязательств по договору, определяются Заказчиком в документации о проведении электронного аукциона.</w:t>
            </w:r>
          </w:p>
        </w:tc>
      </w:tr>
      <w:tr w:rsidR="00011958">
        <w:trPr>
          <w:trHeight w:val="470"/>
        </w:trPr>
        <w:tc>
          <w:tcPr>
            <w:tcW w:w="680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Ответственность Зака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зчика и подрядной организации</w:t>
            </w:r>
          </w:p>
        </w:tc>
        <w:tc>
          <w:tcPr>
            <w:tcW w:w="6976" w:type="dxa"/>
          </w:tcPr>
          <w:p w:rsidR="00011958" w:rsidRDefault="00916EE1">
            <w:pPr>
              <w:widowControl w:val="0"/>
              <w:tabs>
                <w:tab w:val="left" w:pos="6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договора, предусматривающие ответственность подрядной организации и Заказчика за неисполнение или ненадлежащее исполнение обязательств по договору, определяются Заказчиком в документации о проведении электронного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аукциона.</w:t>
            </w:r>
          </w:p>
        </w:tc>
      </w:tr>
      <w:tr w:rsidR="00011958">
        <w:tc>
          <w:tcPr>
            <w:tcW w:w="680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Порядок заключения договора</w:t>
            </w:r>
          </w:p>
        </w:tc>
        <w:tc>
          <w:tcPr>
            <w:tcW w:w="6976" w:type="dxa"/>
          </w:tcPr>
          <w:p w:rsidR="00011958" w:rsidRDefault="00916EE1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Договор заключается Заказчиком в соответствии с Гражданским кодексом Российской Федерации и Положением о привлечении специализированной некоммерческой организацией, осуществляющей деятельность, направленную на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беспечение проведения капитального ремонта общего имущества в МКД, подрядных организаций для оказания услуг и (или) выполнения работ по капитальному ремонту общего имуществ в МКД, утвержденном постановлением Правительства Российской Федерации от 1 июля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г. № 615 (далее – Положение).</w:t>
            </w:r>
          </w:p>
          <w:p w:rsidR="00011958" w:rsidRDefault="00916EE1">
            <w:pPr>
              <w:widowControl w:val="0"/>
              <w:tabs>
                <w:tab w:val="left" w:pos="600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Порядок заключения договора определяется Заказчиком в документации о проведении электронного аукциона.</w:t>
            </w:r>
          </w:p>
        </w:tc>
      </w:tr>
      <w:tr w:rsidR="00011958">
        <w:tc>
          <w:tcPr>
            <w:tcW w:w="680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Другие существенные условия</w:t>
            </w:r>
          </w:p>
        </w:tc>
        <w:tc>
          <w:tcPr>
            <w:tcW w:w="6976" w:type="dxa"/>
          </w:tcPr>
          <w:p w:rsidR="00011958" w:rsidRDefault="00916EE1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1.Предмет договора, место проведения работ (услуг), сроки выполнения работ (услуг),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продолжительность этапов выполнения работ (услуг), виды работ (услуг) не могут изменяться в ходе его исполнения, за исключением случаев,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предусмотренных Положением.</w:t>
            </w:r>
          </w:p>
          <w:p w:rsidR="00011958" w:rsidRDefault="00916EE1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2.При исполнении договора строительного подряда не допускается перемена подрядной организац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ии, за исключением случаев, если новая подрядная организация является правопреемником подрядной организации по договору вследствие реорганизации юридического лица в порядке, предусмотренном законодательством Российской Федерации.</w:t>
            </w:r>
          </w:p>
          <w:p w:rsidR="00011958" w:rsidRDefault="00916EE1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Расторжение договора 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роительного подряда допускается:</w:t>
            </w:r>
          </w:p>
          <w:p w:rsidR="00011958" w:rsidRDefault="00916EE1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 соглашению сторон;</w:t>
            </w:r>
          </w:p>
          <w:p w:rsidR="00011958" w:rsidRDefault="00916EE1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по инициативе Заказчика, в том числе в виде одностороннего отказа от договора (основания такого расторжения устанавливаются в документации о проведении электронного аукциона);</w:t>
            </w:r>
          </w:p>
          <w:p w:rsidR="00011958" w:rsidRDefault="00916EE1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по решению суда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основаниям, предусмотренным законодательством Российской Федерации</w:t>
            </w:r>
          </w:p>
          <w:p w:rsidR="00011958" w:rsidRDefault="00916EE1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3. Заказчик осуществляет расторжение договора в одностороннем порядке, в следующих случаях:</w:t>
            </w:r>
          </w:p>
          <w:p w:rsidR="00011958" w:rsidRDefault="00916EE1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систематическое (2 раза и более) нарушение подрядной организацией сроков оказания услуг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(или) выполнения работ;</w:t>
            </w:r>
          </w:p>
          <w:p w:rsidR="00011958" w:rsidRDefault="00916EE1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задержка подрядной организацией начала оказания услуг и (или) выполнения работ более чем на 10 (десять) календарных дней по причинам, не зависящим от заказчика или собственников помещений в МКД;</w:t>
            </w:r>
          </w:p>
          <w:p w:rsidR="00011958" w:rsidRDefault="00916EE1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неоднократное (2 раза и более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одного календарного месяца) несоблюдение (отступление от требований, предусмотренных договором о проведении капитального ремонта, проектной документацией, стандартами, нормами и правилами, а также иными действующими нормативными правовыми актами)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подрядной организацией требований к качеству услуг и (или) работ и (или) технологии проведения работ;</w:t>
            </w:r>
          </w:p>
          <w:p w:rsidR="00011958" w:rsidRDefault="00916EE1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неоднократное (2 раза и более в течение одного календарного месяца) использование некачественных материалов, изделий и конструкций, выявленных заказчик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 в соответствии с условиями договора строительного подряда;</w:t>
            </w:r>
          </w:p>
          <w:p w:rsidR="00011958" w:rsidRDefault="00916EE1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прекращение членства подрядной организации в саморегулируемой организации, издание актов государственных органов в рамках законодательства Российской Федерации, лишающих права подрядной орган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изации на производство работ;</w:t>
            </w:r>
          </w:p>
          <w:p w:rsidR="00011958" w:rsidRDefault="00916EE1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нарушение подрядной организацией сроков оказания услуг и (или) выполнения работ продолжительностью более 30 (тридцати) календарных дней по любому из МКД;</w:t>
            </w:r>
          </w:p>
          <w:p w:rsidR="00011958" w:rsidRDefault="00916EE1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нарушение срока замены независимой гарантии, установленного догово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 о проведении капитального ремонта, при отзыве лицензии, банкротстве или ликвидации гаранта более чем на 2 рабочих дня;</w:t>
            </w:r>
          </w:p>
          <w:p w:rsidR="00011958" w:rsidRDefault="00916EE1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з) выявление заказчиком после заключения договора строительного подряда факта недействительности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представленной подрядной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организацией независимой гарантии (представление поддельных документов, получение от гаранта опровержения выдачи независимой гарантии подрядной организации в письменной форме);</w:t>
            </w:r>
          </w:p>
          <w:p w:rsidR="00011958" w:rsidRDefault="00916EE1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 неисполнение обязательства о продлении срока независимой гарантии при измене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нии сроков оказания услуг и (или) выполнения работ в связи с изменением по соглашению сторон сроков оказания услуг и (или) выполнения работ либо при нарушении подрядной организацией предусмотренных договором строительного подряда сроков оказания услуг и (и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ли) выполнения работ.</w:t>
            </w:r>
          </w:p>
        </w:tc>
      </w:tr>
    </w:tbl>
    <w:p w:rsidR="00011958" w:rsidRDefault="00011958">
      <w:pPr>
        <w:tabs>
          <w:tab w:val="left" w:pos="42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916E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eastAsia="Calibri" w:hAnsi="Times New Roman" w:cs="Times New Roman"/>
          <w:b/>
          <w:sz w:val="24"/>
          <w:szCs w:val="24"/>
        </w:rPr>
        <w:t>. Требования к участникам предварительного отбора</w:t>
      </w:r>
    </w:p>
    <w:p w:rsidR="00011958" w:rsidRDefault="000119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 проведении предварительного отбора по предмету последующего электронного аукциона «Оказание услуг и (или) выполнение работ по ремонту, замене, модернизации лифтов, ремонту </w:t>
      </w:r>
      <w:r>
        <w:rPr>
          <w:rFonts w:ascii="Times New Roman" w:eastAsia="Calibri" w:hAnsi="Times New Roman" w:cs="Times New Roman"/>
          <w:sz w:val="24"/>
          <w:szCs w:val="24"/>
        </w:rPr>
        <w:t>лифтовых шахт, машинных и блочных помещений» устанавливаются следующие требования к его участникам (далее – Участник):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 членство в саморегулируемой организации в области строительства, реконструкции, капитального ремонта объектов капитального строительст</w:t>
      </w:r>
      <w:r>
        <w:rPr>
          <w:rFonts w:ascii="Times New Roman" w:eastAsia="Calibri" w:hAnsi="Times New Roman" w:cs="Times New Roman"/>
          <w:sz w:val="24"/>
          <w:szCs w:val="24"/>
        </w:rPr>
        <w:t>ва. При этом указанное требование не применяется к участникам предварительного отбора, являющимся лицами, указанными в пункте 1 части 2.2 статьи 52 Градостроительного кодекса Российской Федерации;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 отсутствие у Участника задолженности по уплате налогов, </w:t>
      </w:r>
      <w:r>
        <w:rPr>
          <w:rFonts w:ascii="Times New Roman" w:eastAsia="Calibri" w:hAnsi="Times New Roman" w:cs="Times New Roman"/>
          <w:sz w:val="24"/>
          <w:szCs w:val="24"/>
        </w:rPr>
        <w:t>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задолженностей по обязательным платежам в бюджеты бюджетной системы Российской Федерации в соответствии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 от</w:t>
      </w:r>
      <w:r>
        <w:rPr>
          <w:rFonts w:ascii="Times New Roman" w:eastAsia="Calibri" w:hAnsi="Times New Roman" w:cs="Times New Roman"/>
          <w:sz w:val="24"/>
          <w:szCs w:val="24"/>
        </w:rPr>
        <w:t>сутствие у Участника за 3 года, предшествующие дате окончания срока подачи заявок на участие в предварительном отборе, контракта или договора по строительству, реконструкции и (или) капитальному ремонту объектов капитального строительства, относящихся к то</w:t>
      </w:r>
      <w:r>
        <w:rPr>
          <w:rFonts w:ascii="Times New Roman" w:eastAsia="Calibri" w:hAnsi="Times New Roman" w:cs="Times New Roman"/>
          <w:sz w:val="24"/>
          <w:szCs w:val="24"/>
        </w:rPr>
        <w:t>й же группе работ, что и предмет предварительного отбора,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условий такого контракта или договора;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 отсут</w:t>
      </w:r>
      <w:r>
        <w:rPr>
          <w:rFonts w:ascii="Times New Roman" w:eastAsia="Calibri" w:hAnsi="Times New Roman" w:cs="Times New Roman"/>
          <w:sz w:val="24"/>
          <w:szCs w:val="24"/>
        </w:rPr>
        <w:t>ствие процедуры проведения ликвидации в отношении Участника или отсутствие решения арбитражного суда о признании Участника банкротом и об открытии конкурсного производства;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д) неприостановление деятельности Участника в порядке, предусмотренном Кодексом Рос</w:t>
      </w:r>
      <w:r>
        <w:rPr>
          <w:rFonts w:ascii="Times New Roman" w:eastAsia="Calibri" w:hAnsi="Times New Roman" w:cs="Times New Roman"/>
          <w:sz w:val="24"/>
          <w:szCs w:val="24"/>
        </w:rPr>
        <w:t>сийской Федерации об административных правонарушениях, на дату проведения предварительного отбора;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е) отсутствие конфликта интересов;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ж) неприменение в отношении Участника – физического лица либо руководителя, членов коллегиального исполнительного органа и</w:t>
      </w:r>
      <w:r>
        <w:rPr>
          <w:rFonts w:ascii="Times New Roman" w:eastAsia="Calibri" w:hAnsi="Times New Roman" w:cs="Times New Roman"/>
          <w:sz w:val="24"/>
          <w:szCs w:val="24"/>
        </w:rPr>
        <w:t>ли главного бухгалтера юридического лица – Участника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з) отсутствие сведений об Участ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нике в реестре недобросовестных поставщиков (подрядчиков, исполнителей), ведение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</w:t>
      </w:r>
      <w:r>
        <w:rPr>
          <w:rFonts w:ascii="Times New Roman" w:eastAsia="Calibri" w:hAnsi="Times New Roman" w:cs="Times New Roman"/>
          <w:sz w:val="24"/>
          <w:szCs w:val="24"/>
        </w:rPr>
        <w:t>товаров, работ, услуг для обеспечения государственных и муниципальных нужд;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и) отсутствие сведений об Участнике в реестре недобросовестных подрядных организаций, ведение которого осуществляется федеральным органом исполнительной власти в порядке, установле</w:t>
      </w:r>
      <w:r>
        <w:rPr>
          <w:rFonts w:ascii="Times New Roman" w:eastAsia="Calibri" w:hAnsi="Times New Roman" w:cs="Times New Roman"/>
          <w:sz w:val="24"/>
          <w:szCs w:val="24"/>
        </w:rPr>
        <w:t>нном разделом VII Положения;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к) невозможность для Участника являться юридическим лицом, местом регистрации которого является государство или территория, включенные в утверждаемый в соответствии с подпунктом 1 пункта 3 статьи 284 Налогового кодекса </w:t>
      </w:r>
      <w:r>
        <w:rPr>
          <w:rFonts w:ascii="Times New Roman" w:eastAsia="Calibri" w:hAnsi="Times New Roman" w:cs="Times New Roman"/>
          <w:sz w:val="24"/>
          <w:szCs w:val="24"/>
        </w:rPr>
        <w:t>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юридических лиц;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л) наличие 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штате Участника работников, соответствующих установленным пунктом 1 части 6 статьи 55.5 Градостроительного кодекса Российской Федерации квалификационным требованиям, в количестве, установленном в Приложении № 3 к Документации о проведении предварительного </w:t>
      </w:r>
      <w:r>
        <w:rPr>
          <w:rFonts w:ascii="Times New Roman" w:eastAsia="Calibri" w:hAnsi="Times New Roman" w:cs="Times New Roman"/>
          <w:sz w:val="24"/>
          <w:szCs w:val="24"/>
        </w:rPr>
        <w:t>отбора,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ниже количества, установленного пунктом 2 части 6 статьи 55.5 Градостроительного кодекса Российской Федерации;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м) наличие в штате Участника по месту основной работы не менее одного работника, ответственного за организацию производства работ п</w:t>
      </w:r>
      <w:r>
        <w:rPr>
          <w:rFonts w:ascii="Times New Roman" w:eastAsia="Calibri" w:hAnsi="Times New Roman" w:cs="Times New Roman"/>
          <w:sz w:val="24"/>
          <w:szCs w:val="24"/>
        </w:rPr>
        <w:t>о монтажу и пусконаладке технических устройств (систем вертикального транспорта) - лифтов, платформ подъемных для инвалидов, эскалаторов, пассажирских конвейеров, уровень квалификации которого соответствует уровню, установленному соответствующим профессион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альным стандартом, утвержденным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труда. 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н) наличие у Участника за 3 года, предшествующие дате </w:t>
      </w:r>
      <w:r>
        <w:rPr>
          <w:rFonts w:ascii="Times New Roman" w:eastAsia="Calibri" w:hAnsi="Times New Roman" w:cs="Times New Roman"/>
          <w:sz w:val="24"/>
          <w:szCs w:val="24"/>
        </w:rPr>
        <w:t>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менее чем по 3 исполненным контрактам и (или) договорам, предметом которых являли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сь строительство, реконструкция, капитальный ремонт зданий, являющихся объектами капитального строительства, в том числе по договорам, заключенным в соответствии с Положением. 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этом, минимальный размер стоимости оказанных услуг и (или) выполненных рабо</w:t>
      </w:r>
      <w:r>
        <w:rPr>
          <w:rFonts w:ascii="Times New Roman" w:eastAsia="Calibri" w:hAnsi="Times New Roman" w:cs="Times New Roman"/>
          <w:sz w:val="24"/>
          <w:szCs w:val="24"/>
        </w:rPr>
        <w:t>т по указанным исполненным контрактам и (или) договорам установлен в Приложении № 5 к Документации о проведении предварительного отбора в размере не более 10 процентов предельного размера обязательств по договорам строительного подряда, в соответствии с ко</w:t>
      </w:r>
      <w:r>
        <w:rPr>
          <w:rFonts w:ascii="Times New Roman" w:eastAsia="Calibri" w:hAnsi="Times New Roman" w:cs="Times New Roman"/>
          <w:sz w:val="24"/>
          <w:szCs w:val="24"/>
        </w:rPr>
        <w:t>торым Участником как членом саморегулируемой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2 статьи 55.16 Градостроител</w:t>
      </w:r>
      <w:r>
        <w:rPr>
          <w:rFonts w:ascii="Times New Roman" w:eastAsia="Calibri" w:hAnsi="Times New Roman" w:cs="Times New Roman"/>
          <w:sz w:val="24"/>
          <w:szCs w:val="24"/>
        </w:rPr>
        <w:t>ьного кодекса Российской Федерации.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Размер стоимости оказанных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</w:t>
      </w:r>
      <w:r>
        <w:rPr>
          <w:rFonts w:ascii="Times New Roman" w:eastAsia="Calibri" w:hAnsi="Times New Roman" w:cs="Times New Roman"/>
          <w:sz w:val="24"/>
          <w:szCs w:val="24"/>
        </w:rPr>
        <w:t>сть услуг и (или) работ по таким контрактам и (или) договорам.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о) 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>, указанных в подпунктах "з" - "к" пункта 66 настоящего Положения, в течение года до даты рассмотрения заявок на участие в предварительном отборе комиссией по проведению предварительного отбора.</w:t>
      </w:r>
    </w:p>
    <w:p w:rsidR="00011958" w:rsidRDefault="000119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highlight w:val="white"/>
        </w:rPr>
      </w:pPr>
    </w:p>
    <w:p w:rsidR="00011958" w:rsidRDefault="00916EE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V. Требования к содержанию, форме и составу заявки на участи</w:t>
      </w:r>
      <w:r>
        <w:rPr>
          <w:rFonts w:ascii="Times New Roman" w:eastAsia="Calibri" w:hAnsi="Times New Roman" w:cs="Times New Roman"/>
          <w:b/>
          <w:sz w:val="24"/>
          <w:szCs w:val="24"/>
        </w:rPr>
        <w:t>е в предварительном отборе</w:t>
      </w:r>
    </w:p>
    <w:p w:rsidR="00011958" w:rsidRDefault="00011958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 Участник должен подготовить Заявку по форме приложения № 1 к Документации о проведении предварительного отбора, которая должна содержать полное наименование, сведения об организационно-правовой форме, о месте нахождения, об а</w:t>
      </w:r>
      <w:r>
        <w:rPr>
          <w:rFonts w:ascii="Times New Roman" w:eastAsia="Calibri" w:hAnsi="Times New Roman" w:cs="Times New Roman"/>
          <w:sz w:val="24"/>
          <w:szCs w:val="24"/>
        </w:rPr>
        <w:t>дресе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предварительного отбора, - для юридического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 Участник должен подписать Заявку усиленной квалифициро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ванной электронной подписью. 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06.04.2011 № 63-ФЗ «Об электронной по</w:t>
      </w:r>
      <w:r>
        <w:rPr>
          <w:rFonts w:ascii="Times New Roman" w:eastAsia="Calibri" w:hAnsi="Times New Roman" w:cs="Times New Roman"/>
          <w:sz w:val="24"/>
          <w:szCs w:val="24"/>
        </w:rPr>
        <w:t>дписи».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 В состав Заявки включаются следующие документы: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 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за 30 календарных дней до даты подачи за</w:t>
      </w:r>
      <w:r>
        <w:rPr>
          <w:rFonts w:ascii="Times New Roman" w:eastAsia="Calibri" w:hAnsi="Times New Roman" w:cs="Times New Roman"/>
          <w:sz w:val="24"/>
          <w:szCs w:val="24"/>
        </w:rPr>
        <w:t>явки на участие в предварительном отборе, – для юридического лица;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выписка из Единого государственного реестра индивидуальных предпринимателей или засвидетельствованная в нотариальном порядке копия такой выписки, полученная не ранее чем за 30 календарных д</w:t>
      </w:r>
      <w:r>
        <w:rPr>
          <w:rFonts w:ascii="Times New Roman" w:eastAsia="Calibri" w:hAnsi="Times New Roman" w:cs="Times New Roman"/>
          <w:sz w:val="24"/>
          <w:szCs w:val="24"/>
        </w:rPr>
        <w:t>ней до даты подачи заявки на участие в предварительном отборе, – для физического лица, зарегистрированного в качестве индивидуального предпринимателя;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 копии учредительных документов участника предварительного отбора - для юридического лица;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 копия зас</w:t>
      </w:r>
      <w:r>
        <w:rPr>
          <w:rFonts w:ascii="Times New Roman" w:eastAsia="Calibri" w:hAnsi="Times New Roman" w:cs="Times New Roman"/>
          <w:sz w:val="24"/>
          <w:szCs w:val="24"/>
        </w:rPr>
        <w:t>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иностранного государства, полу</w:t>
      </w:r>
      <w:r>
        <w:rPr>
          <w:rFonts w:ascii="Times New Roman" w:eastAsia="Calibri" w:hAnsi="Times New Roman" w:cs="Times New Roman"/>
          <w:sz w:val="24"/>
          <w:szCs w:val="24"/>
        </w:rPr>
        <w:t>ченная не ранее чем за 6 месяцев до дня подачи заявки на участие в предварительном отборе, – для иностранных лиц;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 документ, подтверждающий полномочия лица на осуществление действий от имени Участника;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д) копия справки налогового органа об отсутствии зад</w:t>
      </w:r>
      <w:r>
        <w:rPr>
          <w:rFonts w:ascii="Times New Roman" w:eastAsia="Calibri" w:hAnsi="Times New Roman" w:cs="Times New Roman"/>
          <w:sz w:val="24"/>
          <w:szCs w:val="24"/>
        </w:rPr>
        <w:t>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highlight w:val="white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е) копия расчета по страховым взносам, представляемого плательщиками страховых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взносов, составленного за последний отчетный период, предшествующий дате подачи заявки на участие в предварительном отборе, по форме, утвержденной уполномоченным органом, с отметкой уполномоченного органа о приеме или с приложением копии документов, подтв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>ерждающих прием уполномоченным органом такого расчета в форме электронного документа;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ж) копия штатного расписания;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з) штатно-списочный состав сотрудников (рекомендуется представлять в соответствии с формой, установленной в Приложении № 2 к Документации о </w:t>
      </w:r>
      <w:r>
        <w:rPr>
          <w:rFonts w:ascii="Times New Roman" w:eastAsia="Calibri" w:hAnsi="Times New Roman" w:cs="Times New Roman"/>
          <w:sz w:val="24"/>
          <w:szCs w:val="24"/>
        </w:rPr>
        <w:t>проведении предварительного отбора);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и) копии трудовых книжек и (или) сведения о трудовой деятельности, предусмотренные статьей 66.1 Трудового кодекса Российской Федерации, копии дипломов, сертификатов,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аттестатов и удостоверений, подтверждающих наличие у </w:t>
      </w:r>
      <w:r>
        <w:rPr>
          <w:rFonts w:ascii="Times New Roman" w:eastAsia="Calibri" w:hAnsi="Times New Roman" w:cs="Times New Roman"/>
          <w:sz w:val="24"/>
          <w:szCs w:val="24"/>
        </w:rPr>
        <w:t>Участника в штате минимального количества квалифицированного персонала;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к) копии не менее 3 исполненных контрактов и (или) договоров, подтверждающих наличие у Участника предусмотренного подпунктом «п» пункта 23 Положения опыта оказания услуг и (или) выполн</w:t>
      </w:r>
      <w:r>
        <w:rPr>
          <w:rFonts w:ascii="Times New Roman" w:eastAsia="Calibri" w:hAnsi="Times New Roman" w:cs="Times New Roman"/>
          <w:sz w:val="24"/>
          <w:szCs w:val="24"/>
        </w:rPr>
        <w:t>ения работ, аналогичных предмету проводимого предварительного отбора, в которых указаны установленный срок оказания услуг и (или) выполнения работ и их первоначальная стоимость, копии актов приемки оказанных услуг и (или) выполненных работ или иных докумен</w:t>
      </w:r>
      <w:r>
        <w:rPr>
          <w:rFonts w:ascii="Times New Roman" w:eastAsia="Calibri" w:hAnsi="Times New Roman" w:cs="Times New Roman"/>
          <w:sz w:val="24"/>
          <w:szCs w:val="24"/>
        </w:rPr>
        <w:t>тов по таким контрактам и (или) договорам, в которых указана их окончательная стоимость и которыми подтверждается приемка заказчиком услуг и (или) работ, оказанных и (или) выполненных в полном объеме.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Обобщенные сведения о наличии контрактов и (или) </w:t>
      </w:r>
      <w:r>
        <w:rPr>
          <w:rFonts w:ascii="Times New Roman" w:eastAsia="Calibri" w:hAnsi="Times New Roman" w:cs="Times New Roman"/>
          <w:sz w:val="24"/>
          <w:szCs w:val="24"/>
        </w:rPr>
        <w:t>договоров и их выполнении рекомендуется представить по форме, установленной в Приложении № 4 к Документации о проведении предварительного отбора.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л) копии документов, подтверждающих соответствие уровня квалификации работника, указанного в подпункте "р" пун</w:t>
      </w:r>
      <w:r>
        <w:rPr>
          <w:rFonts w:ascii="Times New Roman" w:eastAsia="Calibri" w:hAnsi="Times New Roman" w:cs="Times New Roman"/>
          <w:sz w:val="24"/>
          <w:szCs w:val="24"/>
        </w:rPr>
        <w:t>кта 23 настоящего Положения, уровню, установленному соответствующим профессиональным стандартом, утвержденным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</w:t>
      </w:r>
      <w:r>
        <w:rPr>
          <w:rFonts w:ascii="Times New Roman" w:eastAsia="Calibri" w:hAnsi="Times New Roman" w:cs="Times New Roman"/>
          <w:sz w:val="24"/>
          <w:szCs w:val="24"/>
        </w:rPr>
        <w:t>рованию в сфере труда (в случае проведения предварительного отбора на включение в реестр квалифицированных подрядных организаций по предмету электронного аукциона, предусмотренному подпунктом "в" пункта 8 настоящего Положения);</w:t>
      </w:r>
    </w:p>
    <w:p w:rsidR="00011958" w:rsidRDefault="00916E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highlight w:val="white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м) согласие на обработку пер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 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>(рекомендуется представлять в соответствии с формой, установленной в Прило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>жении № 6 к Документации о проведении предварительного отбора)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>.</w:t>
      </w:r>
    </w:p>
    <w:p w:rsidR="00011958" w:rsidRDefault="00011958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916EE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>Порядок подачи заявок на участие в предварительном отборе подрядных организаций</w:t>
      </w:r>
    </w:p>
    <w:p w:rsidR="00011958" w:rsidRDefault="00011958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916EE1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подачи Заявки Участник должен зарегистрироваться на сайте оператора электронной площадки в соответст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вии с регламентом работы электронной площадки.</w:t>
      </w:r>
    </w:p>
    <w:p w:rsidR="00011958" w:rsidRDefault="00916EE1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 Регистрация на электронной площадке, а также участие в предварительном отборе осуществляется без взимания платы с Участника.</w:t>
      </w:r>
    </w:p>
    <w:p w:rsidR="00011958" w:rsidRDefault="00916EE1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Заявка, а также все сведения и документы, которые входят в ее состав, подаются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Участником через оператора электронной площадки в виде электронного документа в соответствии с правилами, установленными оператором электронной площадки.</w:t>
      </w:r>
    </w:p>
    <w:p w:rsidR="00011958" w:rsidRDefault="00916EE1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Участник вправе подать только одну Заявку, пока она не рассмотрена в порядке, предусмотренном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</w:p>
    <w:p w:rsidR="00011958" w:rsidRDefault="00916EE1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 Участник, подавший Заявку, вправе ее изменить.</w:t>
      </w:r>
    </w:p>
    <w:p w:rsidR="00011958" w:rsidRDefault="00916EE1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 Внесение изменений в Заявку осуществляет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квалифицированной электронной подписью.</w:t>
      </w:r>
    </w:p>
    <w:p w:rsidR="00011958" w:rsidRDefault="00916EE1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 Ключи усиленных квалифицированных электро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нных подписей должны быть созданы и выданы удостоверяющими центрами, получившими аккредитацию на соответствие требованиям Федерального закона от 06.04.2011 № 63-ФЗ «Об электронной подписи».</w:t>
      </w:r>
    </w:p>
    <w:p w:rsidR="00011958" w:rsidRDefault="00916EE1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 В случае установления факта подачи одним Участником 2 (двух)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более Заявок при условии, что поданные ранее Заявки не отозваны, все Заявки такого Участника не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рассматриваются. </w:t>
      </w:r>
    </w:p>
    <w:p w:rsidR="00011958" w:rsidRDefault="00916EE1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 Заявка подается Участником не ранее даты, указанной в разделе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</w:p>
    <w:p w:rsidR="00011958" w:rsidRDefault="00916EE1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Заявки, поданные 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нее даты и времени, указанные в разделе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площадки и возвращаются Участнику.</w:t>
      </w:r>
    </w:p>
    <w:p w:rsidR="00011958" w:rsidRDefault="00916EE1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 Каждая Заявка, поступившая в установленные сроки, регистрируется оператором электронно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площадки, с присвоением порядкового номера.</w:t>
      </w:r>
    </w:p>
    <w:p w:rsidR="00011958" w:rsidRDefault="00916EE1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 Установленные дата и время окончания срока подачи Заявок могут быть продлены Органом по ведению РКП в случаях, предусмотренных нормами действующего законодательства Российской Федерации.</w:t>
      </w:r>
    </w:p>
    <w:p w:rsidR="00011958" w:rsidRDefault="0001195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11958" w:rsidRDefault="00916EE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Порядок и </w:t>
      </w:r>
      <w:r>
        <w:rPr>
          <w:rFonts w:ascii="Times New Roman" w:eastAsia="Calibri" w:hAnsi="Times New Roman" w:cs="Times New Roman"/>
          <w:b/>
          <w:sz w:val="24"/>
          <w:szCs w:val="24"/>
        </w:rPr>
        <w:t>срок отзыва заявок на участие в предварительном отборе</w:t>
      </w:r>
    </w:p>
    <w:p w:rsidR="00011958" w:rsidRDefault="000119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916EE1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Участник, подавший Заявку, вправе ее отозвать.</w:t>
      </w:r>
    </w:p>
    <w:p w:rsidR="00011958" w:rsidRDefault="00916EE1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может быть отозвана до даты и времени окончания срока подачи Заявок, указанных в разделе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11958" w:rsidRDefault="00916EE1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регламентом работы электронной площадки. </w:t>
      </w:r>
    </w:p>
    <w:p w:rsidR="00011958" w:rsidRDefault="00916EE1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об отзыве Заявки должно быть подписано усиленной квалифицированной электронной подписью Участника.</w:t>
      </w:r>
    </w:p>
    <w:p w:rsidR="00011958" w:rsidRDefault="00916EE1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06.04.2011 № 63-ФЗ «Об электронной подписи».</w:t>
      </w:r>
    </w:p>
    <w:p w:rsidR="00011958" w:rsidRDefault="00011958">
      <w:pPr>
        <w:widowControl w:val="0"/>
        <w:tabs>
          <w:tab w:val="left" w:pos="993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11958" w:rsidRDefault="00916EE1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Форма, порядок, и </w:t>
      </w:r>
      <w:r>
        <w:rPr>
          <w:rFonts w:ascii="Times New Roman" w:eastAsia="Calibri" w:hAnsi="Times New Roman" w:cs="Times New Roman"/>
          <w:b/>
          <w:sz w:val="24"/>
          <w:szCs w:val="24"/>
        </w:rPr>
        <w:t>сроки предоставления участникам предварительного отбора разъяснений положений Документации о проведении предварительного отбора</w:t>
      </w:r>
    </w:p>
    <w:p w:rsidR="00011958" w:rsidRDefault="00011958">
      <w:pPr>
        <w:widowControl w:val="0"/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916EE1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заинтересованное лицо вправе направить в орган по ведению РКПО запрос о разъяснении Документации о проведении предвари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тельного отбора (далее – Запрос).</w:t>
      </w:r>
    </w:p>
    <w:p w:rsidR="00011958" w:rsidRDefault="00916EE1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</w:p>
    <w:p w:rsidR="00011958" w:rsidRDefault="00916EE1">
      <w:pPr>
        <w:widowControl w:val="0"/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 принимаются до 08 июля 2025 года.</w:t>
      </w:r>
    </w:p>
    <w:p w:rsidR="00011958" w:rsidRDefault="00916EE1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 В случае если Запрос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поступил в сроки, указанные в пункте 3 настоящего раздела, Орган по ведению РКПО в течение 3 (трех)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ии предварительного отбора без указания лица, от которого поступил Запрос. </w:t>
      </w:r>
    </w:p>
    <w:p w:rsidR="00011958" w:rsidRDefault="00916EE1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 В случае если Запрос поступил позднее даты, указанной в пункте 3 настоящего раздела, данный Запрос не рассматривается Органом по ведению РКПО.</w:t>
      </w:r>
    </w:p>
    <w:p w:rsidR="00011958" w:rsidRDefault="00916EE1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 Запрос должен быть подписан, 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иленной квалифицированной электронной подписью лица, направившего Запрос.</w:t>
      </w:r>
    </w:p>
    <w:p w:rsidR="00011958" w:rsidRDefault="00916EE1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она от 06.04.2011 № 63-ФЗ «Об электронной подписи».</w:t>
      </w:r>
    </w:p>
    <w:p w:rsidR="00011958" w:rsidRDefault="0001195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11958" w:rsidRDefault="00916EE1">
      <w:pPr>
        <w:tabs>
          <w:tab w:val="left" w:pos="426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IX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>Порядок рассмотрения заявок на участие в предварительном отборе</w:t>
      </w:r>
    </w:p>
    <w:p w:rsidR="00011958" w:rsidRDefault="00011958">
      <w:pPr>
        <w:widowControl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916EE1">
      <w:pPr>
        <w:widowControl w:val="0"/>
        <w:numPr>
          <w:ilvl w:val="0"/>
          <w:numId w:val="1"/>
        </w:numPr>
        <w:tabs>
          <w:tab w:val="left" w:pos="993"/>
        </w:tabs>
        <w:spacing w:after="0" w:line="240" w:lineRule="auto"/>
        <w:ind w:left="142"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011958" w:rsidRDefault="00916EE1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</w:p>
    <w:p w:rsidR="00011958" w:rsidRDefault="00916EE1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ее персональный состав, а также порядок ее работы утверждаются Органом по ведению РКПО до начала проведения предварительно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отбора.</w:t>
      </w:r>
    </w:p>
    <w:p w:rsidR="00011958" w:rsidRDefault="00916EE1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Комиссии, порядке ее деятельности, а также о дате, месте и времени рассмотрения Заявок Участников размещена на сайте Органа по ведению РКПО.</w:t>
      </w:r>
    </w:p>
    <w:p w:rsidR="00011958" w:rsidRDefault="00916EE1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предварительном отборе и заседаниях Комиссии осуществляется без взимани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платы с Участника.</w:t>
      </w:r>
    </w:p>
    <w:p w:rsidR="00011958" w:rsidRDefault="00916EE1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Протоколы Комиссии, составленные в ходе рассмотрения Заявок, хранятся Органом по ведению РКПО не менее 3 (трех) лет.</w:t>
      </w:r>
    </w:p>
    <w:p w:rsidR="00011958" w:rsidRDefault="00916EE1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Членами Комиссии не могут быть заинтересованные лица либо лица, на которых способны оказать влияние Участник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отбора, либо физические лица, состоящие в браке с руководителем участника предварительно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РКПО. </w:t>
      </w:r>
    </w:p>
    <w:p w:rsidR="00011958" w:rsidRDefault="00916EE1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реестр квалифицированных подрядных организаций информации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</w:p>
    <w:p w:rsidR="00011958" w:rsidRDefault="00011958">
      <w:pPr>
        <w:widowControl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916EE1">
      <w:pPr>
        <w:widowControl w:val="0"/>
        <w:tabs>
          <w:tab w:val="left" w:pos="993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рассмотрения Заявок</w:t>
      </w:r>
    </w:p>
    <w:p w:rsidR="00011958" w:rsidRDefault="00916EE1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 должны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Заявок. </w:t>
      </w:r>
    </w:p>
    <w:p w:rsidR="00011958" w:rsidRDefault="00916EE1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дате, времени и месте рассмотрения Комиссий Заявки направляется подавшему ее Участнику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сайт оператора электронной площадки, а также размещается на сайте Органа по ведению РКПО.</w:t>
      </w:r>
    </w:p>
    <w:p w:rsidR="00011958" w:rsidRDefault="00916EE1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 Участник и (или) его представитель вправе участвовать в заседаниях Комиссии и осуществлять аудио- и (или) видеозаписи заседания Комиссии.</w:t>
      </w:r>
    </w:p>
    <w:p w:rsidR="00011958" w:rsidRDefault="00916EE1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 порядке.</w:t>
      </w:r>
    </w:p>
    <w:p w:rsidR="00011958" w:rsidRDefault="00916EE1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.5.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</w:p>
    <w:p w:rsidR="00011958" w:rsidRDefault="00916EE1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2.6.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результатов рассмотрения Заявок Комиссия принимает одно из следующих решений:</w:t>
      </w:r>
    </w:p>
    <w:p w:rsidR="00011958" w:rsidRDefault="00916EE1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 включение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 в реестр квалифицированных подрядных организаций;</w:t>
      </w:r>
    </w:p>
    <w:p w:rsidR="00011958" w:rsidRDefault="00916E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отказ во включении Участника в реестр квалифицированных подрядных организаций.</w:t>
      </w:r>
    </w:p>
    <w:p w:rsidR="00011958" w:rsidRDefault="00916E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2.7.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Комиссии об отказе во включении Участника в реестр квалифицированных подрядных организаций принимаетс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в следующих случаях:</w:t>
      </w:r>
    </w:p>
    <w:p w:rsidR="00011958" w:rsidRDefault="00916E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несоответствие Участника требованиям, установленным в Документации о проведении предварительного отбора;</w:t>
      </w:r>
    </w:p>
    <w:p w:rsidR="00011958" w:rsidRDefault="00916E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несоответствие Заявки требованиям, установленным в Документации о проведении предварительного отбора;</w:t>
      </w:r>
    </w:p>
    <w:p w:rsidR="00011958" w:rsidRDefault="00916E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представления Участником недостоверной информации (сведений, документов) в составе Заявки.</w:t>
      </w:r>
    </w:p>
    <w:p w:rsidR="00011958" w:rsidRDefault="00916E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2.8.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Невключение в реестр квалифицированных подрядных организаций по иным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основаниям, кроме случаев, указанных в пункте 2.7 настоящего Порядка, не допускается.</w:t>
      </w:r>
    </w:p>
    <w:p w:rsidR="00011958" w:rsidRDefault="00916E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 по ведению РКПО в течение 2 (двух) рабочих дней с даты принятия решения, указанного в подпункте «а» пункта 2.6 настоящего раздела, включает информацию об Участнике в реестр квалифицированных подрядных организаций.</w:t>
      </w:r>
    </w:p>
    <w:p w:rsidR="00011958" w:rsidRDefault="00011958">
      <w:pPr>
        <w:widowControl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916EE1">
      <w:pPr>
        <w:widowControl w:val="0"/>
        <w:tabs>
          <w:tab w:val="left" w:pos="993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Принятие решения о признании п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редварительного отбора несостоявшимся</w:t>
      </w:r>
    </w:p>
    <w:p w:rsidR="00011958" w:rsidRDefault="00916E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Предварительный отбор признается Комиссией несостоявшимся в следующих случаях:</w:t>
      </w:r>
    </w:p>
    <w:p w:rsidR="00011958" w:rsidRDefault="00916E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после установленных в Извещении даты и времени окончания срока подачи Заявок подана единственная Заявка или не подано ни одной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Заявки;</w:t>
      </w:r>
    </w:p>
    <w:p w:rsidR="00011958" w:rsidRDefault="00916E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Комиссией решения о невключении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</w:p>
    <w:p w:rsidR="00011958" w:rsidRDefault="00916E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признания предварительного отбора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состоявшимся Орган по ведению РКПО принимает решение об объявлении процедуры предварительного отбора повторно.</w:t>
      </w:r>
    </w:p>
    <w:p w:rsidR="00011958" w:rsidRDefault="00916E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принятом решении, указанном в пункте 3.1 и 3.2 настоящего раздела, размещается Органом по ведению РКП на официальном сайте и 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йте оператора электронной площадки, в течение 2 рабочих дней со дня признания предварительного отбора несостоявшимся.</w:t>
      </w:r>
    </w:p>
    <w:p w:rsidR="00011958" w:rsidRDefault="00916EE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предварительный отбор признан несостоявшимся в связи с подачей единственной Заявки и Участник, подавший такую Заявку,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оответствует требованиям, установленным в Документации о проведении предварительного отбора, то он включается в реестр квалифицированных подрядных организаций. </w:t>
      </w:r>
    </w:p>
    <w:p w:rsidR="00011958" w:rsidRDefault="00916EE1">
      <w:pPr>
        <w:widowControl w:val="0"/>
        <w:tabs>
          <w:tab w:val="left" w:pos="993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заседания Комиссии</w:t>
      </w:r>
    </w:p>
    <w:p w:rsidR="00011958" w:rsidRDefault="00916EE1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Заявок и принимаемые Комиссией решения, оформляются протоколом Комиссии, который подписывается всеми членами Комиссии, участвующими в заседании. </w:t>
      </w:r>
    </w:p>
    <w:p w:rsidR="00011958" w:rsidRDefault="00916EE1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оформляется и размещается Органом по ведению РКПО на официальном сайте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сайте оператора электронной площадки в течение 2 (двух) рабочих дней со дня его подписания.</w:t>
      </w:r>
    </w:p>
    <w:p w:rsidR="00011958" w:rsidRDefault="00916EE1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протоколе указывается информация о месте, дате и времени рассмотрения Заявок, номер предварительного отбора, наименование (для юридического лица), информаци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об источнике размещения Заявок, фамилия, имя, отчество (при наличии) (для физического лица, зарегистрированного в качестве индивидуального предпринимателя), адрес юридического лица и электронный адрес, идентификационный номер налогоплательщика каждого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рассмотрении Заявок, принятые решения. </w:t>
      </w:r>
    </w:p>
    <w:p w:rsidR="00011958" w:rsidRDefault="00916EE1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принятии Комиссией решения об отказ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во включении Участника в реестр квалифицированных подрядных организаций в протоколе указывается обоснование такого решения со ссылками на нормы Положения, которым не соответствует Участник предварительного отбора, а также на положения Извещения и Докумен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тации о проведении предварительного отбора, которым не соответствует Заявка этого Участника, на документы, подтверждающие такое несоответствие.</w:t>
      </w:r>
    </w:p>
    <w:p w:rsidR="00011958" w:rsidRDefault="00916EE1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4.5.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принятии Комиссией решения о включении Участника в реестр квалифицированных подрядных организаций в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токоле указывается стоимость работ, которая указана в выданном Участнику свидетельстве саморегулируемой организации.</w:t>
      </w:r>
    </w:p>
    <w:p w:rsidR="00011958" w:rsidRDefault="00011958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916EE1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Приложение № 1 </w:t>
      </w:r>
    </w:p>
    <w:p w:rsidR="00011958" w:rsidRDefault="00011958">
      <w:pPr>
        <w:ind w:left="584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916E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ЗАЯВКИ</w:t>
      </w:r>
    </w:p>
    <w:p w:rsidR="00011958" w:rsidRDefault="00916E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 УЧАСТИЕ В ПРЕДВАРИТЕЛЬНОМ ОТБОРЕ ПОДРЯДНЫХ ОРГАНИЗАЦИЙ</w:t>
      </w:r>
    </w:p>
    <w:p w:rsidR="00011958" w:rsidRDefault="00916E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ИЗВЕЩЕНИЮ № ___ ОТ __________________*</w:t>
      </w:r>
    </w:p>
    <w:p w:rsidR="00011958" w:rsidRDefault="00011958">
      <w:pPr>
        <w:ind w:left="584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916EE1">
      <w:pPr>
        <w:ind w:left="584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«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  <w:t xml:space="preserve">      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 2__ года</w:t>
      </w:r>
    </w:p>
    <w:p w:rsidR="00011958" w:rsidRDefault="00916EE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Изучив условия Извещения о проведении 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 в лице 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            (указывается фамилия, имя, отчество (при наличии) представителя участника предвар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>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физического лица)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низаций по предмету отбора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</w:t>
      </w:r>
    </w:p>
    <w:p w:rsidR="00011958" w:rsidRDefault="00916EE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Документация о проведении предварительного отбора изучена в полном объеме и признана полной и достаточной для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подготовки настоящей Заявки.</w:t>
      </w:r>
    </w:p>
    <w:p w:rsidR="00011958" w:rsidRDefault="00916EE1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Настоящим гарантируем достоверность представленной информации и подтверждаем право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реестра квалифицированных подрядных организаций)      </w:t>
      </w:r>
      <w:r>
        <w:rPr>
          <w:rFonts w:ascii="Times New Roman" w:eastAsia="Calibri" w:hAnsi="Times New Roman" w:cs="Times New Roman"/>
          <w:sz w:val="24"/>
          <w:szCs w:val="24"/>
        </w:rPr>
        <w:t>получать в открытых информационных источниках</w:t>
      </w:r>
      <w:r>
        <w:rPr>
          <w:rFonts w:ascii="Times New Roman" w:eastAsia="Calibri" w:hAnsi="Times New Roman" w:cs="Times New Roman"/>
          <w:sz w:val="24"/>
          <w:szCs w:val="24"/>
        </w:rPr>
        <w:t>, в уполномоченных органах власти информацию, уточняющую представленные нами в заявке сведения.</w:t>
      </w:r>
    </w:p>
    <w:p w:rsidR="00011958" w:rsidRDefault="00916EE1">
      <w:pPr>
        <w:spacing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Сообщаем о себе следующее:</w:t>
      </w:r>
    </w:p>
    <w:p w:rsidR="00011958" w:rsidRDefault="00916EE1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Полное наименование организации и сведения об организационно-правовой форме (или Фамилия Имя Отчество (при наличии отчества) для инди</w:t>
      </w:r>
      <w:r>
        <w:rPr>
          <w:rFonts w:ascii="Times New Roman" w:eastAsia="Calibri" w:hAnsi="Times New Roman" w:cs="Times New Roman"/>
          <w:sz w:val="24"/>
          <w:szCs w:val="24"/>
        </w:rPr>
        <w:t>видуального предпринимателя): __________________________________________________________</w:t>
      </w:r>
    </w:p>
    <w:p w:rsidR="00011958" w:rsidRDefault="00916E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Адрес юридического лица (или адрес места жительства – для индивидуального предпринимателя): _________________________________________________</w:t>
      </w:r>
    </w:p>
    <w:p w:rsidR="00011958" w:rsidRDefault="00916E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Адрес для почтовых отправ</w:t>
      </w:r>
      <w:r>
        <w:rPr>
          <w:rFonts w:ascii="Times New Roman" w:eastAsia="Calibri" w:hAnsi="Times New Roman" w:cs="Times New Roman"/>
          <w:sz w:val="24"/>
          <w:szCs w:val="24"/>
        </w:rPr>
        <w:t>лений: ___________________________________________</w:t>
      </w:r>
    </w:p>
    <w:p w:rsidR="00011958" w:rsidRDefault="00916E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Телефон:_________________________________________________________________</w:t>
      </w:r>
    </w:p>
    <w:p w:rsidR="00011958" w:rsidRDefault="00916E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Адрес электронной почты: _________________________________________________</w:t>
      </w:r>
    </w:p>
    <w:p w:rsidR="00011958" w:rsidRDefault="00916EE1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Учредители - полное наименование юридического лица и его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организационно правовая форма (или ФИО для учредителя – физического лица)/ ИНН:</w:t>
      </w:r>
    </w:p>
    <w:p w:rsidR="00011958" w:rsidRDefault="00916EE1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__________________________________/ИНН____________________________________,</w:t>
      </w:r>
    </w:p>
    <w:p w:rsidR="00011958" w:rsidRDefault="00916EE1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__________________________________/ИНН ___________________________________,</w:t>
      </w:r>
    </w:p>
    <w:p w:rsidR="00011958" w:rsidRDefault="00916EE1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____________________/ИНН____________________________________,</w:t>
      </w:r>
    </w:p>
    <w:p w:rsidR="00011958" w:rsidRDefault="00916EE1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ФИО членов коллегиального исполнительного органа/ ИНН:</w:t>
      </w:r>
    </w:p>
    <w:p w:rsidR="00011958" w:rsidRDefault="00916EE1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__________________________________/ИНН____________________________________,</w:t>
      </w:r>
    </w:p>
    <w:p w:rsidR="00011958" w:rsidRDefault="00916EE1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 __________________________________/ИНН 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___________________________________,</w:t>
      </w:r>
    </w:p>
    <w:p w:rsidR="00011958" w:rsidRDefault="00916EE1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__________________________________/ИНН____________________________________,</w:t>
      </w:r>
    </w:p>
    <w:p w:rsidR="00011958" w:rsidRDefault="00916EE1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ФИО единоличного исполнительного органа/ ИНН:</w:t>
      </w:r>
    </w:p>
    <w:p w:rsidR="00011958" w:rsidRDefault="00916EE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____________________________________/ИНН____________________________________,</w:t>
      </w:r>
    </w:p>
    <w:p w:rsidR="00011958" w:rsidRDefault="00916EE1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ФИО лиц, уполном</w:t>
      </w:r>
      <w:r>
        <w:rPr>
          <w:rFonts w:ascii="Times New Roman" w:eastAsia="Calibri" w:hAnsi="Times New Roman" w:cs="Times New Roman"/>
          <w:sz w:val="24"/>
          <w:szCs w:val="24"/>
        </w:rPr>
        <w:t>оченных действовать от имени участника предварительного отбора:</w:t>
      </w:r>
    </w:p>
    <w:p w:rsidR="00011958" w:rsidRDefault="00916EE1">
      <w:pPr>
        <w:tabs>
          <w:tab w:val="left" w:pos="284"/>
        </w:tabs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____________________________________________;</w:t>
      </w:r>
    </w:p>
    <w:p w:rsidR="00011958" w:rsidRDefault="00916EE1">
      <w:pPr>
        <w:tabs>
          <w:tab w:val="left" w:pos="284"/>
        </w:tabs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____________________________________________;</w:t>
      </w:r>
    </w:p>
    <w:p w:rsidR="00011958" w:rsidRDefault="00916EE1">
      <w:pPr>
        <w:tabs>
          <w:tab w:val="left" w:pos="284"/>
        </w:tabs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____________________________________________;</w:t>
      </w:r>
    </w:p>
    <w:p w:rsidR="00011958" w:rsidRDefault="00916EE1">
      <w:pPr>
        <w:tabs>
          <w:tab w:val="left" w:pos="284"/>
        </w:tabs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__;</w:t>
      </w:r>
    </w:p>
    <w:p w:rsidR="00011958" w:rsidRDefault="00916EE1">
      <w:pPr>
        <w:numPr>
          <w:ilvl w:val="0"/>
          <w:numId w:val="2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Настоящим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          (указывается полное наименование и организационно-правовая форма юридического лица или Фамилия Имя Отчество (при наличии отчества) для индивидуального предпринимателя)        </w:t>
      </w:r>
      <w:r>
        <w:rPr>
          <w:rFonts w:ascii="Times New Roman" w:eastAsia="Calibri" w:hAnsi="Times New Roman" w:cs="Times New Roman"/>
          <w:sz w:val="24"/>
          <w:szCs w:val="24"/>
        </w:rPr>
        <w:t>подтверждает соответствие требованиям, установленным в Д</w:t>
      </w:r>
      <w:r>
        <w:rPr>
          <w:rFonts w:ascii="Times New Roman" w:eastAsia="Calibri" w:hAnsi="Times New Roman" w:cs="Times New Roman"/>
          <w:sz w:val="24"/>
          <w:szCs w:val="24"/>
        </w:rPr>
        <w:t>окументации о проведении предварительного отбора.</w:t>
      </w:r>
    </w:p>
    <w:p w:rsidR="00011958" w:rsidRDefault="00011958">
      <w:pPr>
        <w:tabs>
          <w:tab w:val="left" w:pos="284"/>
          <w:tab w:val="left" w:pos="993"/>
        </w:tabs>
        <w:spacing w:after="0" w:line="240" w:lineRule="auto"/>
        <w:ind w:left="8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916EE1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Приложения: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(указываются перечень прилагаемых документов, перечисленных в пункте 4 раздела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  <w:lang w:val="en-US"/>
        </w:rPr>
        <w:t>V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. Документации о проведении предварительного отбора) </w:t>
      </w: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011958">
          <w:headerReference w:type="default" r:id="rId10"/>
          <w:pgSz w:w="11906" w:h="16838"/>
          <w:pgMar w:top="1134" w:right="567" w:bottom="1134" w:left="1418" w:header="708" w:footer="0" w:gutter="0"/>
          <w:cols w:space="720"/>
          <w:formProt w:val="0"/>
          <w:titlePg/>
          <w:docGrid w:linePitch="360" w:charSpace="4096"/>
        </w:sectPr>
      </w:pPr>
    </w:p>
    <w:p w:rsidR="00011958" w:rsidRDefault="00916EE1">
      <w:pPr>
        <w:spacing w:after="0" w:line="240" w:lineRule="auto"/>
        <w:ind w:left="5812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2 </w:t>
      </w:r>
    </w:p>
    <w:p w:rsidR="00011958" w:rsidRDefault="00011958">
      <w:pPr>
        <w:tabs>
          <w:tab w:val="left" w:pos="1134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011958">
      <w:pPr>
        <w:tabs>
          <w:tab w:val="left" w:pos="1134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1958" w:rsidRDefault="00916E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ФОРМА ШТАТНО-СПИСОЧНОГО СОСТАВА СОТРУДНИКОВ </w:t>
      </w:r>
    </w:p>
    <w:p w:rsidR="00011958" w:rsidRDefault="00011958">
      <w:pPr>
        <w:spacing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1958" w:rsidRDefault="00916EE1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предварительного отбора подрядных организаций: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(указывается полное наименование и организационно-правовая форма для юридического лица или Фамилия, Имя, Отчество (при наличии отчества) для индивидуального предпринимателя)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      .</w:t>
      </w:r>
    </w:p>
    <w:tbl>
      <w:tblPr>
        <w:tblW w:w="14614" w:type="dxa"/>
        <w:tblInd w:w="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559"/>
        <w:gridCol w:w="1701"/>
        <w:gridCol w:w="1701"/>
        <w:gridCol w:w="2977"/>
        <w:gridCol w:w="3118"/>
        <w:gridCol w:w="2990"/>
      </w:tblGrid>
      <w:tr w:rsidR="00011958">
        <w:trPr>
          <w:trHeight w:val="196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11958" w:rsidRDefault="00916EE1">
            <w:pPr>
              <w:ind w:firstLine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11958" w:rsidRDefault="00916EE1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работника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11958" w:rsidRDefault="00916EE1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11958" w:rsidRDefault="00916EE1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11958" w:rsidRDefault="00916EE1">
            <w:pPr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 стаж по профессии, специальности или направлению подготовки в области строительства</w:t>
            </w:r>
          </w:p>
          <w:p w:rsidR="00011958" w:rsidRDefault="00916EE1">
            <w:pPr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(лет)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11958" w:rsidRDefault="00916EE1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включении в реестр специалистов в области строительства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11958" w:rsidRDefault="00916EE1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необходимых сертификатов, лицензий, наличие удостоверений по соответствующим допус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</w:t>
            </w:r>
          </w:p>
        </w:tc>
      </w:tr>
      <w:tr w:rsidR="00011958">
        <w:trPr>
          <w:trHeight w:val="45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011958" w:rsidRDefault="00916E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011958" w:rsidRDefault="00916EE1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011958" w:rsidRDefault="00916EE1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011958" w:rsidRDefault="00916EE1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011958" w:rsidRDefault="00916EE1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11958" w:rsidRDefault="00916EE1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011958" w:rsidRDefault="00916EE1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11958">
        <w:trPr>
          <w:trHeight w:val="47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916EE1">
            <w:pPr>
              <w:shd w:val="clear" w:color="auto" w:fill="FFFFFF"/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958">
        <w:trPr>
          <w:trHeight w:val="47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916EE1">
            <w:pPr>
              <w:shd w:val="clear" w:color="auto" w:fill="FFFFFF"/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958">
        <w:trPr>
          <w:trHeight w:val="47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916EE1">
            <w:pPr>
              <w:shd w:val="clear" w:color="auto" w:fill="FFFFFF"/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011958" w:rsidRDefault="000119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11958" w:rsidRDefault="00916E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Примечание:</w:t>
      </w:r>
    </w:p>
    <w:p w:rsidR="00011958" w:rsidRDefault="00916E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Данные формируются в разрезе каждого сотрудника, удовлетворяющего требованиям к минимальному количеству квалифицированного персонала, установленным органом по ведению реестра квалифицированных подрядных организаций в пункте «л» раздела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V Документации.</w:t>
      </w:r>
    </w:p>
    <w:p w:rsidR="00011958" w:rsidRDefault="00916E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личная форма включает в себя следующие данные:</w:t>
      </w:r>
    </w:p>
    <w:p w:rsidR="00011958" w:rsidRDefault="00916E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графе «№ п/п» указывается номер строки по порядку;</w:t>
      </w:r>
    </w:p>
    <w:p w:rsidR="00011958" w:rsidRDefault="00916E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графе «Фамилия, имя, отчество работника» указываются фамилия имя и отчество (при наличии отчества) сотрудника;</w:t>
      </w:r>
    </w:p>
    <w:p w:rsidR="00011958" w:rsidRDefault="00916E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 в графе «Образование» указываются све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дения об образовании и полученной специальности сотрудника, соответствующие данным предоставляемого диплома или другого документа об образовании;</w:t>
      </w:r>
    </w:p>
    <w:p w:rsidR="00011958" w:rsidRDefault="00916E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 в графе «Должность» указываются сведения о должности сотрудника, занимаемой в данной организации, соответств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ующие сведениям трудового договора;</w:t>
      </w:r>
    </w:p>
    <w:p w:rsidR="00011958" w:rsidRDefault="00916E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графе «Общий трудовой стаж по профессии, специальности или направлению подготовки в области строительства</w:t>
      </w:r>
    </w:p>
    <w:p w:rsidR="00011958" w:rsidRDefault="00916E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(лет)» указываются сведения о стаже работы сотрудника в сфере строительства, которые должны соответствовать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сведениям в документах, предоставляемых участником предварительного отбора (трудовым книжкам, дипломам, трудовым договорам);</w:t>
      </w:r>
    </w:p>
    <w:p w:rsidR="00011958" w:rsidRDefault="00916E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графе «Сведения о включении в реестр специалистов в области строительства)» - указываются сведения о наличии специалистов по ор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ганизации инженерных изысканий (главных инженеров проектов), специалистов по организации архитектурно-строительного проектирования (главных инженеров проектов, главных архитекторов проектов), специалистов по организации строительства (главных инженеров про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ектов), сведения о которых включены в национальные реестры специалистов, предусмотренные статьей 55.5-1 Градостроительного кодекса Российской Федерации, - не менее чем два специалиста по месту основной работы;</w:t>
      </w:r>
    </w:p>
    <w:p w:rsidR="00011958" w:rsidRDefault="00916E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графе «Наличие необходимых сертификатов, 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ицензий, удостоверений» указываются сведения об имеющихся у сотрудника сертификатах, разрешений и пр. документов, подтверждающих соответствие персонала участника предварительного отбора требованиям органа по ведению реестра квалифицированных подрядных орга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низаций.</w:t>
      </w: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916EE1">
      <w:pPr>
        <w:spacing w:after="0" w:line="240" w:lineRule="auto"/>
        <w:ind w:firstLine="70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3</w:t>
      </w:r>
    </w:p>
    <w:p w:rsidR="00011958" w:rsidRDefault="00011958">
      <w:pPr>
        <w:spacing w:after="0" w:line="240" w:lineRule="auto"/>
        <w:ind w:firstLine="709"/>
        <w:jc w:val="right"/>
      </w:pPr>
    </w:p>
    <w:p w:rsidR="00011958" w:rsidRDefault="00916EE1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ТРЕБОВАНИЯ К МИНИМАЛЬНОМУ КОЛИЧЕСТВУ КВАЛИФИЦИРОВАННОГО ПЕРСОНАЛА, ВХОДЯЩЕГО В ШТАТ УЧАСТНИКА</w:t>
      </w:r>
    </w:p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665"/>
        <w:gridCol w:w="3066"/>
        <w:gridCol w:w="3650"/>
        <w:gridCol w:w="2577"/>
        <w:gridCol w:w="1639"/>
        <w:gridCol w:w="3112"/>
      </w:tblGrid>
      <w:tr w:rsidR="00011958">
        <w:trPr>
          <w:trHeight w:val="1574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Стаж работы по специальности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человек, не менее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Требование по включению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реестр специалистов/наличие свидетельства квалификации</w:t>
            </w:r>
          </w:p>
        </w:tc>
      </w:tr>
      <w:tr w:rsidR="00011958">
        <w:trPr>
          <w:trHeight w:val="56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11958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916EE1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 предприниматель/руководитель юридического лица, самостоятельно организующие строительство</w:t>
            </w:r>
          </w:p>
          <w:p w:rsidR="00011958" w:rsidRDefault="0001195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916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Высшее образование по профессии, специальности или направлению подготовки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области строительства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916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5 лет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916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11958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916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Работник индивидуального предпринимателя/ юридического лица – специалист по организации строительства (главный инженер проектов)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916EE1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Высшее образование по профессии, специальности или направлению подготовки в области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строительства</w:t>
            </w:r>
          </w:p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011958"/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916EE1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011958" w:rsidRDefault="00916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основному месту работы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916EE1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специалисте должны быть включены в национальный реестр специалистов в области строительства.</w:t>
            </w:r>
          </w:p>
          <w:p w:rsidR="00011958" w:rsidRDefault="00011958">
            <w:pPr>
              <w:spacing w:after="0" w:line="240" w:lineRule="auto"/>
              <w:jc w:val="both"/>
            </w:pPr>
          </w:p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011958">
        <w:trPr>
          <w:trHeight w:val="1903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916EE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-Специалист по организации монтажа лифтов, платформ подъемных для инвалидов, эскалаторов (6 уровень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квалификации),</w:t>
            </w:r>
          </w:p>
          <w:p w:rsidR="00011958" w:rsidRDefault="00916EE1">
            <w:pPr>
              <w:spacing w:before="240"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 Технический директор специализированной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по монтажу систем вертикального транспорта (лифтов, платформ подъемных для инвалидов, эскалаторов) (6 уровень квалификации).</w:t>
            </w:r>
          </w:p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916EE1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Высшее образование по профессии,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бакалавриат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пециалист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рганизации монтажа электрических подъемников, лифтов, платформ подъемных для инвалидов, эскалаторов, пассажирских конвейеров</w:t>
            </w:r>
          </w:p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916EE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трех лет в области монтажа, пусконаладки, реконструкции и эксплуатации систем вертикального транспорта и/или подъемных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оружений,</w:t>
            </w:r>
          </w:p>
          <w:p w:rsidR="00011958" w:rsidRDefault="00916EE1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строительства</w:t>
            </w:r>
          </w:p>
          <w:p w:rsidR="00011958" w:rsidRDefault="00011958">
            <w:pPr>
              <w:spacing w:after="0" w:line="240" w:lineRule="auto"/>
            </w:pPr>
          </w:p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916EE1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  <w:p w:rsidR="00011958" w:rsidRDefault="00916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основному месту работы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958" w:rsidRDefault="00916EE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действующего свидетельства о квалификации, выданного в соответствии с требованиями Федерального </w:t>
            </w:r>
            <w:hyperlink r:id="rId11" w:tgtFrame="consultantplus://offline/ref=ED0885B7CA7D9EA78E3F0C8B65A29D940715C18072FB617C8CE278D6AA9E98DFDD6864CFD41AE8EB3B595BB11EIDZFK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 июля 2016 года N 238-ФЗ "О независимой оценке квалификаци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и",</w:t>
            </w:r>
          </w:p>
          <w:p w:rsidR="00011958" w:rsidRDefault="00916EE1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сайте АНО НАРК.</w:t>
            </w:r>
          </w:p>
          <w:p w:rsidR="00011958" w:rsidRDefault="00916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свидетельства о квалификации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- 3года</w:t>
            </w:r>
          </w:p>
        </w:tc>
      </w:tr>
    </w:tbl>
    <w:p w:rsidR="00011958" w:rsidRDefault="00916EE1">
      <w:pPr>
        <w:rPr>
          <w:rFonts w:ascii="Times New Roman" w:eastAsia="Calibri" w:hAnsi="Times New Roman" w:cs="Times New Roman"/>
          <w:sz w:val="24"/>
          <w:szCs w:val="24"/>
        </w:rPr>
      </w:pPr>
      <w:r>
        <w:lastRenderedPageBreak/>
        <w:br w:type="page"/>
      </w:r>
    </w:p>
    <w:p w:rsidR="00011958" w:rsidRDefault="00916EE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916E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ПРЕДВАРИТЕЛЬНОГО ОТБОРА ОПЫТА ОКАЗАНИЯ УСЛУГ И (ИЛИ) ВЫПОЛНЕНИЯ РАБОТ, АНАЛОГИЧНЫХ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ПРЕДМЕТУ ПРЕДВАРИТЕЛЬНОГО ОТБОРА</w:t>
      </w: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916E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45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2"/>
        <w:gridCol w:w="1849"/>
        <w:gridCol w:w="1955"/>
        <w:gridCol w:w="1956"/>
        <w:gridCol w:w="2826"/>
        <w:gridCol w:w="2593"/>
        <w:gridCol w:w="2786"/>
      </w:tblGrid>
      <w:tr w:rsidR="00011958">
        <w:trPr>
          <w:trHeight w:val="2632"/>
        </w:trPr>
        <w:tc>
          <w:tcPr>
            <w:tcW w:w="601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9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Наименование, дата заключения и номер контракта и (или) договора</w:t>
            </w:r>
          </w:p>
        </w:tc>
        <w:tc>
          <w:tcPr>
            <w:tcW w:w="1955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Установленный срок оказания услуг и (или) выполнения работ</w:t>
            </w:r>
          </w:p>
        </w:tc>
        <w:tc>
          <w:tcPr>
            <w:tcW w:w="1956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Первоначальная стоимость услуг и (или) работ, рублей</w:t>
            </w:r>
          </w:p>
        </w:tc>
        <w:tc>
          <w:tcPr>
            <w:tcW w:w="2826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Наименование, дата и номер актов прие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мки оказанных услуг и (или) выполненных работ по контракту и (или) договору или иных документов, подтверждающих приемку услуг и (или) работ</w:t>
            </w:r>
          </w:p>
        </w:tc>
        <w:tc>
          <w:tcPr>
            <w:tcW w:w="2593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Окончательная стоимость услуг и (или) работ (согласно актам приемки оказанных услуг и (или) выполненных работ), рубл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2786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Наличие подтверждения приемки заказчиком услуг и (или) работ по контракту и (или) договору, оказанных и (или) выполненных в полном объеме (наличие/отсутствие подписи заказчика о приемке)</w:t>
            </w:r>
          </w:p>
        </w:tc>
      </w:tr>
      <w:tr w:rsidR="00011958">
        <w:trPr>
          <w:trHeight w:val="546"/>
        </w:trPr>
        <w:tc>
          <w:tcPr>
            <w:tcW w:w="601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9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6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3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6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011958">
        <w:trPr>
          <w:trHeight w:val="540"/>
        </w:trPr>
        <w:tc>
          <w:tcPr>
            <w:tcW w:w="601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9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5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6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826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593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786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011958">
        <w:trPr>
          <w:trHeight w:val="540"/>
        </w:trPr>
        <w:tc>
          <w:tcPr>
            <w:tcW w:w="601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9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5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6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826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593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786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011958">
        <w:trPr>
          <w:trHeight w:val="540"/>
        </w:trPr>
        <w:tc>
          <w:tcPr>
            <w:tcW w:w="601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9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5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6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826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593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786" w:type="dxa"/>
          </w:tcPr>
          <w:p w:rsidR="00011958" w:rsidRDefault="000119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</w:tbl>
    <w:p w:rsidR="00011958" w:rsidRDefault="00916EE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11958">
          <w:headerReference w:type="default" r:id="rId12"/>
          <w:headerReference w:type="first" r:id="rId13"/>
          <w:pgSz w:w="16838" w:h="11906" w:orient="landscape"/>
          <w:pgMar w:top="1418" w:right="1134" w:bottom="567" w:left="1134" w:header="708" w:footer="0" w:gutter="0"/>
          <w:cols w:space="720"/>
          <w:formProt w:val="0"/>
          <w:titlePg/>
          <w:docGrid w:linePitch="360" w:charSpace="4096"/>
        </w:sectPr>
      </w:pPr>
    </w:p>
    <w:p w:rsidR="00011958" w:rsidRDefault="00916EE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5</w:t>
      </w: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916E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МИНИМАЛЬНЫЙ РАЗМЕР СТОИМОСТИ ОКАЗАННЫХ УСЛУГ И (ИЛИ) ВЫПОЛНЕННЫХ РАБОТ</w:t>
      </w: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94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5318"/>
        <w:gridCol w:w="3613"/>
      </w:tblGrid>
      <w:tr w:rsidR="00011958">
        <w:trPr>
          <w:trHeight w:val="3552"/>
          <w:jc w:val="center"/>
        </w:trPr>
        <w:tc>
          <w:tcPr>
            <w:tcW w:w="563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18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Предельный размер обязательств по договорам строительного подряда, в соответствии с которым Участником как членом саморегулируемой 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2 статьи 55.16 Градостроительного кодекса Российской Федерации</w:t>
            </w:r>
          </w:p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(уровень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ответственности члена саморегулируемой организации)</w:t>
            </w:r>
          </w:p>
        </w:tc>
        <w:tc>
          <w:tcPr>
            <w:tcW w:w="3613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Минимальный размер стоимости оказанных услуг и (или) выполненных работ по исполненным контрактам и (или) договорам*</w:t>
            </w:r>
          </w:p>
        </w:tc>
      </w:tr>
      <w:tr w:rsidR="00011958">
        <w:trPr>
          <w:trHeight w:val="613"/>
          <w:jc w:val="center"/>
        </w:trPr>
        <w:tc>
          <w:tcPr>
            <w:tcW w:w="563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8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3" w:type="dxa"/>
            <w:shd w:val="clear" w:color="auto" w:fill="D9D9D9" w:themeFill="background1" w:themeFillShade="D9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11958">
        <w:trPr>
          <w:jc w:val="center"/>
        </w:trPr>
        <w:tc>
          <w:tcPr>
            <w:tcW w:w="563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18" w:type="dxa"/>
          </w:tcPr>
          <w:p w:rsidR="00011958" w:rsidRDefault="00916EE1">
            <w:pPr>
              <w:pStyle w:val="af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 превышает 90 миллионов рублей</w:t>
            </w:r>
          </w:p>
          <w:p w:rsidR="00011958" w:rsidRDefault="00916EE1">
            <w:pPr>
              <w:pStyle w:val="af6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(первый уровень ответственности члена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саморегулируемой организации)</w:t>
            </w:r>
          </w:p>
          <w:p w:rsidR="00011958" w:rsidRDefault="00011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3613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10 % предельного размера обязательств</w:t>
            </w:r>
          </w:p>
        </w:tc>
      </w:tr>
      <w:tr w:rsidR="00011958">
        <w:trPr>
          <w:jc w:val="center"/>
        </w:trPr>
        <w:tc>
          <w:tcPr>
            <w:tcW w:w="563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18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превышает 500 миллионов рублей</w:t>
            </w:r>
          </w:p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(второй уровень ответственности члена саморегулируемой организации)</w:t>
            </w:r>
          </w:p>
          <w:p w:rsidR="00011958" w:rsidRDefault="00011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7 % предельного размера обязательств</w:t>
            </w:r>
          </w:p>
        </w:tc>
      </w:tr>
      <w:tr w:rsidR="00011958">
        <w:trPr>
          <w:trHeight w:val="437"/>
          <w:jc w:val="center"/>
        </w:trPr>
        <w:tc>
          <w:tcPr>
            <w:tcW w:w="563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18" w:type="dxa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превышает 3 миллиарда рублей</w:t>
            </w:r>
          </w:p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(третий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уровень ответственности члена саморегулируемой организации)</w:t>
            </w:r>
          </w:p>
          <w:p w:rsidR="00011958" w:rsidRDefault="00011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vMerge w:val="restart"/>
          </w:tcPr>
          <w:p w:rsidR="00011958" w:rsidRDefault="00916E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3 % предельного размера обязательств</w:t>
            </w:r>
          </w:p>
        </w:tc>
      </w:tr>
      <w:tr w:rsidR="00011958">
        <w:trPr>
          <w:trHeight w:val="437"/>
          <w:jc w:val="center"/>
        </w:trPr>
        <w:tc>
          <w:tcPr>
            <w:tcW w:w="563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18" w:type="dxa"/>
          </w:tcPr>
          <w:p w:rsidR="00011958" w:rsidRDefault="00916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превышает 10 миллиардов рублей</w:t>
            </w:r>
          </w:p>
          <w:p w:rsidR="00011958" w:rsidRDefault="00916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(четвертый уровень ответственности члена саморегулируемой организации)</w:t>
            </w:r>
          </w:p>
          <w:p w:rsidR="00011958" w:rsidRDefault="00011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vMerge/>
          </w:tcPr>
          <w:p w:rsidR="00011958" w:rsidRDefault="00011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011958">
        <w:trPr>
          <w:jc w:val="center"/>
        </w:trPr>
        <w:tc>
          <w:tcPr>
            <w:tcW w:w="563" w:type="dxa"/>
          </w:tcPr>
          <w:p w:rsidR="00011958" w:rsidRDefault="00916E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18" w:type="dxa"/>
          </w:tcPr>
          <w:p w:rsidR="00011958" w:rsidRDefault="00916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составляет 10 миллиардов рублей и более</w:t>
            </w:r>
          </w:p>
          <w:p w:rsidR="00011958" w:rsidRDefault="00916E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(пятый уровень ответственности члена саморегулируемой организации)</w:t>
            </w:r>
          </w:p>
          <w:p w:rsidR="00011958" w:rsidRDefault="00011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3613" w:type="dxa"/>
            <w:vMerge/>
          </w:tcPr>
          <w:p w:rsidR="00011958" w:rsidRDefault="000119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</w:tbl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highlight w:val="cyan"/>
        </w:rPr>
      </w:pPr>
    </w:p>
    <w:p w:rsidR="00011958" w:rsidRDefault="00916EE1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  <w:sectPr w:rsidR="00011958">
          <w:headerReference w:type="default" r:id="rId14"/>
          <w:headerReference w:type="first" r:id="rId15"/>
          <w:pgSz w:w="11906" w:h="16838"/>
          <w:pgMar w:top="1134" w:right="567" w:bottom="1134" w:left="1418" w:header="0" w:footer="0" w:gutter="0"/>
          <w:cols w:space="720"/>
          <w:formProt w:val="0"/>
          <w:docGrid w:linePitch="360" w:charSpace="4096"/>
        </w:sectPr>
      </w:pPr>
      <w:r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Размер стоимости оказанных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</w:t>
      </w:r>
      <w:r>
        <w:rPr>
          <w:rFonts w:ascii="Times New Roman" w:eastAsia="Calibri" w:hAnsi="Times New Roman" w:cs="Times New Roman"/>
          <w:sz w:val="24"/>
          <w:szCs w:val="24"/>
        </w:rPr>
        <w:t>нтрактам и (или) договорам.</w:t>
      </w:r>
    </w:p>
    <w:p w:rsidR="00011958" w:rsidRDefault="00916EE1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011958" w:rsidRDefault="00011958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011958" w:rsidRDefault="00916EE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</w:p>
    <w:p w:rsidR="00011958" w:rsidRDefault="00011958">
      <w:pPr>
        <w:jc w:val="center"/>
        <w:rPr>
          <w:rFonts w:ascii="Times New Roman" w:hAnsi="Times New Roman" w:cs="Times New Roman"/>
          <w:b/>
          <w:bCs/>
        </w:rPr>
      </w:pPr>
    </w:p>
    <w:p w:rsidR="00011958" w:rsidRDefault="00916EE1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СОГЛАСИЕ </w:t>
      </w:r>
    </w:p>
    <w:p w:rsidR="00011958" w:rsidRDefault="00916EE1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 обработку персональных данных </w:t>
      </w:r>
    </w:p>
    <w:p w:rsidR="00011958" w:rsidRDefault="00916EE1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субъект персональных данных: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_______________________________</w:t>
      </w:r>
      <w:r>
        <w:rPr>
          <w:rFonts w:ascii="Times New Roman" w:eastAsia="Times New Roman" w:hAnsi="Times New Roman" w:cs="Times New Roman"/>
        </w:rPr>
        <w:t>_______________________________________</w:t>
      </w:r>
    </w:p>
    <w:p w:rsidR="00011958" w:rsidRDefault="00916EE1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(Ф.И.О. полностью)</w:t>
      </w:r>
      <w:r>
        <w:rPr>
          <w:rFonts w:ascii="Times New Roman" w:eastAsia="Times New Roman" w:hAnsi="Times New Roman" w:cs="Times New Roman"/>
        </w:rPr>
        <w:t xml:space="preserve"> </w:t>
      </w:r>
    </w:p>
    <w:p w:rsidR="00011958" w:rsidRDefault="00916EE1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основной документ, удостоверяющий личность:_____________________________</w:t>
      </w:r>
    </w:p>
    <w:p w:rsidR="00011958" w:rsidRDefault="00916EE1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наименование, серия, номер, дата выдачи, выдавший орган, код подразделения)</w:t>
      </w:r>
      <w:r>
        <w:rPr>
          <w:rFonts w:ascii="Times New Roman" w:eastAsia="Times New Roman" w:hAnsi="Times New Roman" w:cs="Times New Roman"/>
        </w:rPr>
        <w:t xml:space="preserve"> </w:t>
      </w:r>
    </w:p>
    <w:p w:rsidR="00011958" w:rsidRDefault="00916EE1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зарегистрированного(-ой) по адресу: ______________________________________________________________________ </w:t>
      </w:r>
    </w:p>
    <w:p w:rsidR="00011958" w:rsidRDefault="00916EE1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соответствии со ст. 9 Федерального закона от 27.07.2006 № 152-ФЗ «О персональных данных» даю конкретное, предметное, информированное, сознательное</w:t>
      </w:r>
      <w:r>
        <w:rPr>
          <w:rFonts w:ascii="Times New Roman" w:eastAsia="Times New Roman" w:hAnsi="Times New Roman" w:cs="Times New Roman"/>
        </w:rPr>
        <w:t xml:space="preserve"> и однозначное согласие на обработку своих персональных данных, указанных в любой из частей заявки на участие в предварительном отборе на право включения ______________________________________________________________________ </w:t>
      </w:r>
    </w:p>
    <w:p w:rsidR="00011958" w:rsidRDefault="00916EE1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участника предва</w:t>
      </w:r>
      <w:r>
        <w:rPr>
          <w:rFonts w:ascii="Times New Roman" w:eastAsia="Times New Roman" w:hAnsi="Times New Roman" w:cs="Times New Roman"/>
          <w:sz w:val="18"/>
          <w:szCs w:val="18"/>
        </w:rPr>
        <w:t>рительного отбора и ИНН)</w:t>
      </w:r>
      <w:r>
        <w:rPr>
          <w:rFonts w:ascii="Times New Roman" w:eastAsia="Times New Roman" w:hAnsi="Times New Roman" w:cs="Times New Roman"/>
        </w:rPr>
        <w:t xml:space="preserve"> </w:t>
      </w:r>
    </w:p>
    <w:p w:rsidR="00011958" w:rsidRDefault="00916EE1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реестр квалифицированных подрядных организаций, имеющих право принимать участие в электронных аукционах, предметом которых является оказание услуг и (или) выполнение работ по капитальному ремонту общего имущества многоквартирных</w:t>
      </w:r>
      <w:r>
        <w:rPr>
          <w:rFonts w:ascii="Times New Roman" w:eastAsia="Times New Roman" w:hAnsi="Times New Roman" w:cs="Times New Roman"/>
        </w:rPr>
        <w:t xml:space="preserve"> домов (указать номер предварительного отбора) органу, уполномоченному на ведение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от 24.08.2016 № 242-п</w:t>
      </w:r>
      <w:r>
        <w:rPr>
          <w:rFonts w:ascii="Times New Roman" w:eastAsia="Times New Roman" w:hAnsi="Times New Roman" w:cs="Times New Roman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Министерству </w:t>
      </w:r>
      <w:r>
        <w:rPr>
          <w:rFonts w:ascii="Times New Roman" w:eastAsia="Times New Roman" w:hAnsi="Times New Roman" w:cs="Times New Roman"/>
          <w:sz w:val="28"/>
          <w:szCs w:val="28"/>
        </w:rPr>
        <w:t>жилищно-коммунального хозяйства и энергетики Новосибирской области</w:t>
      </w:r>
      <w:r>
        <w:rPr>
          <w:rFonts w:ascii="Times New Roman" w:eastAsia="Times New Roman" w:hAnsi="Times New Roman" w:cs="Times New Roman"/>
        </w:rPr>
        <w:t xml:space="preserve"> (ИНН </w:t>
      </w:r>
      <w:r>
        <w:rPr>
          <w:rFonts w:ascii="Times New Roman" w:eastAsia="Times New Roman" w:hAnsi="Times New Roman" w:cs="Times New Roman"/>
          <w:sz w:val="28"/>
          <w:szCs w:val="28"/>
        </w:rPr>
        <w:t>5406793110</w:t>
      </w:r>
      <w:r>
        <w:rPr>
          <w:rFonts w:ascii="Times New Roman" w:eastAsia="Times New Roman" w:hAnsi="Times New Roman" w:cs="Times New Roman"/>
        </w:rPr>
        <w:t xml:space="preserve">, далее - оператор), находящемуся по адресу: </w:t>
      </w:r>
      <w:r>
        <w:rPr>
          <w:rFonts w:ascii="Times New Roman" w:eastAsia="Times New Roman" w:hAnsi="Times New Roman" w:cs="Times New Roman"/>
          <w:sz w:val="28"/>
          <w:szCs w:val="28"/>
        </w:rPr>
        <w:t>630091, г. Новосибирск, ул. Фрунзе, 5, оф. 639</w:t>
      </w:r>
      <w:r>
        <w:rPr>
          <w:rFonts w:ascii="Times New Roman" w:eastAsia="Times New Roman" w:hAnsi="Times New Roman" w:cs="Times New Roman"/>
        </w:rPr>
        <w:t>, с целью исполнения требований п. 25 и пп. в) п. 38 Положения, утвержденного поста</w:t>
      </w:r>
      <w:r>
        <w:rPr>
          <w:rFonts w:ascii="Times New Roman" w:eastAsia="Times New Roman" w:hAnsi="Times New Roman" w:cs="Times New Roman"/>
        </w:rPr>
        <w:t>новлением Правительства Российской Федерации от 01.07.2016 № 615 «О порядке привлечения подрядных организаций для оказания услуг и (или) выполнения работ по капитальному ремонту общего имущества в многоквартирном доме, порядке осуществления закупок товаров</w:t>
      </w:r>
      <w:r>
        <w:rPr>
          <w:rFonts w:ascii="Times New Roman" w:eastAsia="Times New Roman" w:hAnsi="Times New Roman" w:cs="Times New Roman"/>
        </w:rPr>
        <w:t>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многоквартирных домах, о порядке осуществления специализиро</w:t>
      </w:r>
      <w:r>
        <w:rPr>
          <w:rFonts w:ascii="Times New Roman" w:eastAsia="Times New Roman" w:hAnsi="Times New Roman" w:cs="Times New Roman"/>
        </w:rPr>
        <w:t>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закупки товаров (материалов и оборудования, в том числе высокотехнологичного оборудования</w:t>
      </w:r>
      <w:r>
        <w:rPr>
          <w:rFonts w:ascii="Times New Roman" w:eastAsia="Times New Roman" w:hAnsi="Times New Roman" w:cs="Times New Roman"/>
        </w:rPr>
        <w:t>), необходимых для оказания услуг и (или) выполнения работ по капитальному ремонту общего имущества в многоквартирном доме, и реализации закупленных и не использованных на проведение капитального ремонта общего имущества в многоквартирном доме товаров (мат</w:t>
      </w:r>
      <w:r>
        <w:rPr>
          <w:rFonts w:ascii="Times New Roman" w:eastAsia="Times New Roman" w:hAnsi="Times New Roman" w:cs="Times New Roman"/>
        </w:rPr>
        <w:t xml:space="preserve">ериалов и оборудования, в том числе высокотехнологичного оборудования)» (далее - Положение). </w:t>
      </w:r>
    </w:p>
    <w:p w:rsidR="00011958" w:rsidRDefault="00916E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Перечень моих персональных данных, на обработку которых я даю согласие: фамилия, имя, отчество (при наличии), дата рождения, номер основного документа, удостоверя</w:t>
      </w:r>
      <w:r>
        <w:rPr>
          <w:rFonts w:ascii="Times New Roman" w:eastAsia="Times New Roman" w:hAnsi="Times New Roman" w:cs="Times New Roman"/>
        </w:rPr>
        <w:t xml:space="preserve">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данные о трудовой деятельности. </w:t>
      </w:r>
    </w:p>
    <w:p w:rsidR="00011958" w:rsidRDefault="00916E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Разрешаю оператору про</w:t>
      </w:r>
      <w:r>
        <w:rPr>
          <w:rFonts w:ascii="Times New Roman" w:eastAsia="Times New Roman" w:hAnsi="Times New Roman" w:cs="Times New Roman"/>
        </w:rPr>
        <w:t>изводить автоматизированную, а также осуществляемую без использования средств автоматизации обработку моих персональных данных, а именно: сбор, запись, систематизацию, накопление, хранение, уточнение (обновление, изменение), извлечение, использование, пере</w:t>
      </w:r>
      <w:r>
        <w:rPr>
          <w:rFonts w:ascii="Times New Roman" w:eastAsia="Times New Roman" w:hAnsi="Times New Roman" w:cs="Times New Roman"/>
        </w:rPr>
        <w:t xml:space="preserve">дачу (предоставление, доступ), обезличивание, блокирование, удаление, уничтожение - </w:t>
      </w:r>
      <w:r>
        <w:rPr>
          <w:rFonts w:ascii="Times New Roman" w:eastAsia="Times New Roman" w:hAnsi="Times New Roman" w:cs="Times New Roman"/>
          <w:sz w:val="28"/>
          <w:szCs w:val="28"/>
        </w:rPr>
        <w:t>Министерству жилищно-коммунального хозяйства и энергетики Новосибирской области</w:t>
      </w:r>
      <w:r>
        <w:rPr>
          <w:rFonts w:ascii="Times New Roman" w:eastAsia="Times New Roman" w:hAnsi="Times New Roman" w:cs="Times New Roman"/>
        </w:rPr>
        <w:t xml:space="preserve">. </w:t>
      </w:r>
    </w:p>
    <w:p w:rsidR="00011958" w:rsidRDefault="00916E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Согласие вступает в силу со дня его подписания и действуют в случае: </w:t>
      </w:r>
    </w:p>
    <w:p w:rsidR="00011958" w:rsidRDefault="00916E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включения участника </w:t>
      </w:r>
      <w:r>
        <w:rPr>
          <w:rFonts w:ascii="Times New Roman" w:eastAsia="Times New Roman" w:hAnsi="Times New Roman" w:cs="Times New Roman"/>
        </w:rPr>
        <w:t xml:space="preserve">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</w:p>
    <w:p w:rsidR="00011958" w:rsidRDefault="00916E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не включения в РКПО в течение срока, предусмотренного для обжалования решения Комиссии по </w:t>
      </w:r>
      <w:r>
        <w:rPr>
          <w:rFonts w:ascii="Times New Roman" w:eastAsia="Times New Roman" w:hAnsi="Times New Roman" w:cs="Times New Roman"/>
        </w:rPr>
        <w:t xml:space="preserve">предварительному отбору, установленного законодательством Российской Федерации. </w:t>
      </w:r>
    </w:p>
    <w:p w:rsidR="00011958" w:rsidRDefault="00916E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Субъект персональных данных вправе отозвать настоящее согласие на обработку своих персональных данных, письменно уведомив об этом оператора.</w:t>
      </w:r>
    </w:p>
    <w:p w:rsidR="00011958" w:rsidRDefault="00916EE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Субъект персональных данных: </w:t>
      </w:r>
    </w:p>
    <w:p w:rsidR="00011958" w:rsidRDefault="00011958">
      <w:pPr>
        <w:ind w:firstLine="709"/>
        <w:jc w:val="both"/>
        <w:rPr>
          <w:rFonts w:ascii="Times New Roman" w:hAnsi="Times New Roman" w:cs="Times New Roman"/>
        </w:rPr>
      </w:pPr>
    </w:p>
    <w:p w:rsidR="00011958" w:rsidRDefault="00916EE1">
      <w:pPr>
        <w:ind w:firstLine="709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«           »          20     г. </w:t>
      </w:r>
    </w:p>
    <w:p w:rsidR="00011958" w:rsidRDefault="00011958">
      <w:pPr>
        <w:ind w:firstLine="709"/>
        <w:rPr>
          <w:rFonts w:ascii="Times New Roman" w:hAnsi="Times New Roman" w:cs="Times New Roman"/>
        </w:rPr>
      </w:pPr>
    </w:p>
    <w:p w:rsidR="00011958" w:rsidRDefault="00916EE1">
      <w:pPr>
        <w:ind w:firstLine="709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</w:t>
      </w:r>
    </w:p>
    <w:p w:rsidR="00011958" w:rsidRDefault="00916EE1">
      <w:pPr>
        <w:ind w:firstLine="709"/>
        <w:rPr>
          <w:rFonts w:ascii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</w:rPr>
        <w:t xml:space="preserve">(подпись)                           (Ф.И.О. с расшифровкой)     </w:t>
      </w:r>
      <w:r>
        <w:rPr>
          <w:rFonts w:ascii="Times New Roman" w:eastAsia="Times New Roman" w:hAnsi="Times New Roman" w:cs="Times New Roman"/>
        </w:rPr>
        <w:t xml:space="preserve">                     (дата подписания согласия) </w:t>
      </w:r>
    </w:p>
    <w:p w:rsidR="00011958" w:rsidRDefault="00011958">
      <w:pPr>
        <w:rPr>
          <w:rFonts w:ascii="Times New Roman" w:hAnsi="Times New Roman" w:cs="Times New Roman"/>
          <w:bCs/>
          <w:i/>
        </w:rPr>
      </w:pPr>
    </w:p>
    <w:p w:rsidR="00011958" w:rsidRDefault="00011958">
      <w:pPr>
        <w:ind w:firstLine="709"/>
        <w:rPr>
          <w:rFonts w:ascii="Times New Roman" w:hAnsi="Times New Roman" w:cs="Times New Roman"/>
          <w:bCs/>
          <w:i/>
        </w:rPr>
      </w:pPr>
    </w:p>
    <w:p w:rsidR="00011958" w:rsidRDefault="00011958">
      <w:pPr>
        <w:rPr>
          <w:rFonts w:ascii="Times New Roman" w:hAnsi="Times New Roman" w:cs="Times New Roman"/>
          <w:bCs/>
          <w:i/>
        </w:rPr>
      </w:pPr>
    </w:p>
    <w:p w:rsidR="00011958" w:rsidRDefault="00916EE1">
      <w:pPr>
        <w:rPr>
          <w:rFonts w:ascii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  <w:i/>
          <w:iCs/>
        </w:rPr>
        <w:t>Согласие на обработку персональных данных заполняется собственноручно синей ручкой</w:t>
      </w:r>
    </w:p>
    <w:p w:rsidR="00011958" w:rsidRDefault="000119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958" w:rsidRDefault="00011958"/>
    <w:p w:rsidR="00011958" w:rsidRDefault="00011958"/>
    <w:p w:rsidR="00011958" w:rsidRDefault="0001195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cyan"/>
        </w:rPr>
      </w:pPr>
    </w:p>
    <w:p w:rsidR="00011958" w:rsidRDefault="0001195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11958" w:rsidRDefault="0001195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GoBack"/>
      <w:bookmarkEnd w:id="0"/>
    </w:p>
    <w:sectPr w:rsidR="00011958">
      <w:headerReference w:type="default" r:id="rId16"/>
      <w:pgSz w:w="11906" w:h="16838"/>
      <w:pgMar w:top="1134" w:right="567" w:bottom="1134" w:left="1418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EE1" w:rsidRDefault="00916EE1">
      <w:pPr>
        <w:spacing w:after="0" w:line="240" w:lineRule="auto"/>
      </w:pPr>
      <w:r>
        <w:separator/>
      </w:r>
    </w:p>
  </w:endnote>
  <w:endnote w:type="continuationSeparator" w:id="0">
    <w:p w:rsidR="00916EE1" w:rsidRDefault="00916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S Sans Serif"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EE1" w:rsidRDefault="00916EE1">
      <w:pPr>
        <w:spacing w:after="0" w:line="240" w:lineRule="auto"/>
      </w:pPr>
      <w:r>
        <w:separator/>
      </w:r>
    </w:p>
  </w:footnote>
  <w:footnote w:type="continuationSeparator" w:id="0">
    <w:p w:rsidR="00916EE1" w:rsidRDefault="00916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958" w:rsidRDefault="00916EE1">
    <w:pPr>
      <w:pStyle w:val="af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 w:rsidR="00120C05">
      <w:rPr>
        <w:rFonts w:ascii="Times New Roman" w:hAnsi="Times New Roman" w:cs="Times New Roman"/>
        <w:noProof/>
      </w:rPr>
      <w:t>17</w:t>
    </w:r>
    <w:r>
      <w:rPr>
        <w:rFonts w:ascii="Times New Roman" w:hAnsi="Times New Roman" w:cs="Times New Roman"/>
      </w:rPr>
      <w:fldChar w:fldCharType="end"/>
    </w:r>
  </w:p>
  <w:p w:rsidR="00011958" w:rsidRDefault="00011958">
    <w:pPr>
      <w:pStyle w:val="af8"/>
    </w:pPr>
  </w:p>
  <w:p w:rsidR="00011958" w:rsidRDefault="00011958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958" w:rsidRDefault="00916EE1">
    <w:pPr>
      <w:pStyle w:val="af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 w:rsidR="00120C05">
      <w:rPr>
        <w:rFonts w:ascii="Times New Roman" w:hAnsi="Times New Roman" w:cs="Times New Roman"/>
        <w:noProof/>
      </w:rPr>
      <w:t>22</w:t>
    </w:r>
    <w:r>
      <w:rPr>
        <w:rFonts w:ascii="Times New Roman" w:hAnsi="Times New Roman" w:cs="Times New Roman"/>
      </w:rPr>
      <w:fldChar w:fldCharType="end"/>
    </w:r>
  </w:p>
  <w:p w:rsidR="00011958" w:rsidRDefault="00011958">
    <w:pPr>
      <w:pStyle w:val="af8"/>
    </w:pPr>
  </w:p>
  <w:p w:rsidR="00011958" w:rsidRDefault="00011958">
    <w:pPr>
      <w:pStyle w:val="af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958" w:rsidRDefault="0001195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958" w:rsidRDefault="00011958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958" w:rsidRDefault="00011958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958" w:rsidRDefault="00916EE1">
    <w:pPr>
      <w:pStyle w:val="af8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 PAGE </w:instrText>
    </w:r>
    <w:r>
      <w:rPr>
        <w:rFonts w:ascii="Times New Roman" w:hAnsi="Times New Roman" w:cs="Times New Roman"/>
      </w:rPr>
      <w:fldChar w:fldCharType="separate"/>
    </w:r>
    <w:r w:rsidR="00120C05">
      <w:rPr>
        <w:rFonts w:ascii="Times New Roman" w:hAnsi="Times New Roman" w:cs="Times New Roman"/>
        <w:noProof/>
      </w:rPr>
      <w:t>25</w:t>
    </w:r>
    <w:r>
      <w:rPr>
        <w:rFonts w:ascii="Times New Roman" w:hAnsi="Times New Roman" w:cs="Times New Roman"/>
      </w:rPr>
      <w:fldChar w:fldCharType="end"/>
    </w:r>
  </w:p>
  <w:p w:rsidR="00011958" w:rsidRDefault="00011958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7168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763176DB"/>
    <w:multiLevelType w:val="multilevel"/>
    <w:tmpl w:val="1A00D1C0"/>
    <w:lvl w:ilvl="0">
      <w:start w:val="1"/>
      <w:numFmt w:val="decimal"/>
      <w:lvlText w:val="%1."/>
      <w:lvlJc w:val="left"/>
      <w:pPr>
        <w:tabs>
          <w:tab w:val="num" w:pos="0"/>
        </w:tabs>
        <w:ind w:left="3192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056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60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64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68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7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7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52" w:hanging="1440"/>
      </w:pPr>
    </w:lvl>
  </w:abstractNum>
  <w:abstractNum w:abstractNumId="2" w15:restartNumberingAfterBreak="0">
    <w:nsid w:val="7F8E406E"/>
    <w:multiLevelType w:val="multilevel"/>
    <w:tmpl w:val="EDF2F0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958"/>
    <w:rsid w:val="00011958"/>
    <w:rsid w:val="00120C05"/>
    <w:rsid w:val="0091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24733"/>
  <w15:docId w15:val="{3BF6C5C4-315E-4C52-AA3E-C85356804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styleId="a3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a4">
    <w:name w:val="endnote reference"/>
    <w:rPr>
      <w:vertAlign w:val="superscript"/>
    </w:r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6">
    <w:name w:val="Гипертекстовая ссылка"/>
    <w:basedOn w:val="a0"/>
    <w:uiPriority w:val="99"/>
    <w:qFormat/>
    <w:rPr>
      <w:b/>
      <w:bCs/>
      <w:color w:val="106BBE"/>
    </w:rPr>
  </w:style>
  <w:style w:type="character" w:styleId="a7">
    <w:name w:val="FollowedHyperlink"/>
    <w:basedOn w:val="a0"/>
    <w:uiPriority w:val="99"/>
    <w:semiHidden/>
    <w:unhideWhenUsed/>
    <w:rPr>
      <w:color w:val="800080"/>
      <w:u w:val="single"/>
    </w:rPr>
  </w:style>
  <w:style w:type="character" w:customStyle="1" w:styleId="a8">
    <w:name w:val="Верхний колонтитул Знак"/>
    <w:basedOn w:val="a0"/>
    <w:uiPriority w:val="99"/>
    <w:qFormat/>
  </w:style>
  <w:style w:type="character" w:customStyle="1" w:styleId="a9">
    <w:name w:val="Нижний колонтитул Знак"/>
    <w:basedOn w:val="a0"/>
    <w:uiPriority w:val="99"/>
    <w:qFormat/>
  </w:style>
  <w:style w:type="character" w:customStyle="1" w:styleId="aa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e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0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1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2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3">
    <w:name w:val="index heading"/>
    <w:basedOn w:val="Heading"/>
  </w:style>
  <w:style w:type="paragraph" w:styleId="af4">
    <w:name w:val="TOC Heading"/>
    <w:uiPriority w:val="39"/>
    <w:unhideWhenUsed/>
    <w:qFormat/>
    <w:pPr>
      <w:spacing w:after="160" w:line="259" w:lineRule="auto"/>
    </w:pPr>
  </w:style>
  <w:style w:type="paragraph" w:styleId="af5">
    <w:name w:val="table of figures"/>
    <w:basedOn w:val="a"/>
    <w:uiPriority w:val="99"/>
    <w:unhideWhenUsed/>
    <w:pPr>
      <w:spacing w:after="0"/>
    </w:pPr>
  </w:style>
  <w:style w:type="paragraph" w:styleId="af6">
    <w:name w:val="No Spacing"/>
    <w:uiPriority w:val="1"/>
    <w:qFormat/>
    <w:rPr>
      <w:rFonts w:ascii="Arial" w:eastAsia="Times New Roman" w:hAnsi="Arial"/>
      <w:sz w:val="24"/>
      <w:szCs w:val="24"/>
      <w:lang w:eastAsia="ru-RU"/>
    </w:rPr>
  </w:style>
  <w:style w:type="paragraph" w:customStyle="1" w:styleId="xl63">
    <w:name w:val="xl63"/>
    <w:basedOn w:val="a"/>
    <w:qFormat/>
    <w:pPr>
      <w:pBdr>
        <w:top w:val="single" w:sz="4" w:space="0" w:color="D0D7E5"/>
        <w:left w:val="single" w:sz="4" w:space="0" w:color="D0D7E5"/>
        <w:bottom w:val="single" w:sz="4" w:space="0" w:color="D0D7E5"/>
        <w:right w:val="single" w:sz="4" w:space="0" w:color="D0D7E5"/>
      </w:pBdr>
      <w:spacing w:beforeAutospacing="1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65">
    <w:name w:val="xl65"/>
    <w:basedOn w:val="a"/>
    <w:qFormat/>
    <w:pPr>
      <w:pBdr>
        <w:top w:val="single" w:sz="4" w:space="0" w:color="D0D7E5"/>
        <w:left w:val="single" w:sz="4" w:space="0" w:color="D0D7E5"/>
        <w:bottom w:val="single" w:sz="4" w:space="0" w:color="D0D7E5"/>
        <w:right w:val="single" w:sz="4" w:space="0" w:color="D0D7E5"/>
      </w:pBdr>
      <w:spacing w:beforeAutospacing="1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64">
    <w:name w:val="xl64"/>
    <w:basedOn w:val="a"/>
    <w:qFormat/>
    <w:pPr>
      <w:pBdr>
        <w:top w:val="single" w:sz="4" w:space="0" w:color="D0D7E5"/>
        <w:left w:val="single" w:sz="4" w:space="0" w:color="D0D7E5"/>
        <w:bottom w:val="single" w:sz="4" w:space="0" w:color="D0D7E5"/>
        <w:right w:val="single" w:sz="4" w:space="0" w:color="D0D7E5"/>
      </w:pBdr>
      <w:spacing w:beforeAutospacing="1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66">
    <w:name w:val="xl66"/>
    <w:basedOn w:val="a"/>
    <w:qFormat/>
    <w:pPr>
      <w:pBdr>
        <w:bottom w:val="single" w:sz="4" w:space="0" w:color="D0D7E5"/>
      </w:pBdr>
      <w:spacing w:beforeAutospacing="1" w:afterAutospacing="1" w:line="240" w:lineRule="auto"/>
      <w:jc w:val="center"/>
    </w:pPr>
    <w:rPr>
      <w:rFonts w:ascii="Calibri" w:eastAsia="Times New Roman" w:hAnsi="Calibri" w:cs="Times New Roman"/>
      <w:b/>
      <w:bCs/>
      <w:color w:val="000000"/>
      <w:lang w:eastAsia="ru-RU"/>
    </w:rPr>
  </w:style>
  <w:style w:type="paragraph" w:customStyle="1" w:styleId="xl67">
    <w:name w:val="xl67"/>
    <w:basedOn w:val="a"/>
    <w:qFormat/>
    <w:pPr>
      <w:pBdr>
        <w:bottom w:val="single" w:sz="4" w:space="0" w:color="D0D7E5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qFormat/>
    <w:pPr>
      <w:pBdr>
        <w:top w:val="single" w:sz="4" w:space="0" w:color="D0D7E5"/>
        <w:left w:val="single" w:sz="4" w:space="0" w:color="D0D7E5"/>
        <w:bottom w:val="single" w:sz="4" w:space="0" w:color="D0D7E5"/>
      </w:pBdr>
      <w:spacing w:beforeAutospacing="1" w:afterAutospacing="1" w:line="240" w:lineRule="auto"/>
      <w:jc w:val="center"/>
    </w:pPr>
    <w:rPr>
      <w:rFonts w:ascii="Calibri" w:eastAsia="Times New Roman" w:hAnsi="Calibri" w:cs="Times New Roman"/>
      <w:b/>
      <w:bCs/>
      <w:color w:val="000000"/>
      <w:lang w:eastAsia="ru-RU"/>
    </w:rPr>
  </w:style>
  <w:style w:type="paragraph" w:customStyle="1" w:styleId="xl69">
    <w:name w:val="xl69"/>
    <w:basedOn w:val="a"/>
    <w:qFormat/>
    <w:pPr>
      <w:pBdr>
        <w:top w:val="single" w:sz="4" w:space="0" w:color="D0D7E5"/>
        <w:bottom w:val="single" w:sz="4" w:space="0" w:color="D0D7E5"/>
      </w:pBdr>
      <w:spacing w:beforeAutospacing="1" w:afterAutospacing="1" w:line="240" w:lineRule="auto"/>
      <w:jc w:val="center"/>
    </w:pPr>
    <w:rPr>
      <w:rFonts w:ascii="Calibri" w:eastAsia="Times New Roman" w:hAnsi="Calibri" w:cs="Times New Roman"/>
      <w:b/>
      <w:bCs/>
      <w:color w:val="000000"/>
      <w:lang w:eastAsia="ru-RU"/>
    </w:rPr>
  </w:style>
  <w:style w:type="paragraph" w:customStyle="1" w:styleId="xl70">
    <w:name w:val="xl70"/>
    <w:basedOn w:val="a"/>
    <w:qFormat/>
    <w:pPr>
      <w:pBdr>
        <w:top w:val="single" w:sz="4" w:space="0" w:color="D0D7E5"/>
        <w:bottom w:val="single" w:sz="4" w:space="0" w:color="D0D7E5"/>
        <w:right w:val="single" w:sz="4" w:space="0" w:color="D0D7E5"/>
      </w:pBdr>
      <w:spacing w:beforeAutospacing="1" w:afterAutospacing="1" w:line="240" w:lineRule="auto"/>
      <w:jc w:val="center"/>
    </w:pPr>
    <w:rPr>
      <w:rFonts w:ascii="Calibri" w:eastAsia="Times New Roman" w:hAnsi="Calibri" w:cs="Times New Roman"/>
      <w:b/>
      <w:bCs/>
      <w:color w:val="000000"/>
      <w:lang w:eastAsia="ru-RU"/>
    </w:rPr>
  </w:style>
  <w:style w:type="paragraph" w:customStyle="1" w:styleId="xl71">
    <w:name w:val="xl71"/>
    <w:basedOn w:val="a"/>
    <w:qFormat/>
    <w:pPr>
      <w:pBdr>
        <w:top w:val="single" w:sz="4" w:space="0" w:color="D0D7E5"/>
        <w:left w:val="single" w:sz="4" w:space="0" w:color="D0D7E5"/>
        <w:bottom w:val="single" w:sz="4" w:space="0" w:color="D0D7E5"/>
      </w:pBdr>
      <w:spacing w:beforeAutospacing="1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72">
    <w:name w:val="xl72"/>
    <w:basedOn w:val="a"/>
    <w:qFormat/>
    <w:pPr>
      <w:pBdr>
        <w:top w:val="single" w:sz="4" w:space="0" w:color="D0D7E5"/>
        <w:left w:val="single" w:sz="4" w:space="0" w:color="D0D7E5"/>
        <w:bottom w:val="single" w:sz="4" w:space="0" w:color="D0D7E5"/>
      </w:pBdr>
      <w:spacing w:beforeAutospacing="1" w:afterAutospacing="1" w:line="240" w:lineRule="auto"/>
      <w:jc w:val="center"/>
    </w:pPr>
    <w:rPr>
      <w:rFonts w:ascii="Calibri" w:eastAsia="Times New Roman" w:hAnsi="Calibri" w:cs="Times New Roman"/>
      <w:b/>
      <w:bCs/>
      <w:color w:val="000000"/>
      <w:lang w:eastAsia="ru-RU"/>
    </w:rPr>
  </w:style>
  <w:style w:type="paragraph" w:customStyle="1" w:styleId="xl73">
    <w:name w:val="xl73"/>
    <w:basedOn w:val="a"/>
    <w:qFormat/>
    <w:pPr>
      <w:pBdr>
        <w:top w:val="single" w:sz="4" w:space="0" w:color="D0D7E5"/>
        <w:bottom w:val="single" w:sz="4" w:space="0" w:color="D0D7E5"/>
      </w:pBdr>
      <w:spacing w:beforeAutospacing="1" w:afterAutospacing="1" w:line="240" w:lineRule="auto"/>
      <w:jc w:val="center"/>
    </w:pPr>
    <w:rPr>
      <w:rFonts w:ascii="Calibri" w:eastAsia="Times New Roman" w:hAnsi="Calibri" w:cs="Times New Roman"/>
      <w:b/>
      <w:bCs/>
      <w:color w:val="000000"/>
      <w:lang w:eastAsia="ru-RU"/>
    </w:rPr>
  </w:style>
  <w:style w:type="paragraph" w:customStyle="1" w:styleId="xl74">
    <w:name w:val="xl74"/>
    <w:basedOn w:val="a"/>
    <w:qFormat/>
    <w:pPr>
      <w:pBdr>
        <w:top w:val="single" w:sz="4" w:space="0" w:color="D0D7E5"/>
        <w:bottom w:val="single" w:sz="4" w:space="0" w:color="D0D7E5"/>
        <w:right w:val="single" w:sz="4" w:space="0" w:color="D0D7E5"/>
      </w:pBdr>
      <w:spacing w:beforeAutospacing="1" w:afterAutospacing="1" w:line="240" w:lineRule="auto"/>
      <w:jc w:val="center"/>
    </w:pPr>
    <w:rPr>
      <w:rFonts w:ascii="Calibri" w:eastAsia="Times New Roman" w:hAnsi="Calibri" w:cs="Times New Roman"/>
      <w:b/>
      <w:bCs/>
      <w:color w:val="000000"/>
      <w:lang w:eastAsia="ru-RU"/>
    </w:rPr>
  </w:style>
  <w:style w:type="paragraph" w:customStyle="1" w:styleId="xl75">
    <w:name w:val="xl75"/>
    <w:basedOn w:val="a"/>
    <w:qFormat/>
    <w:pPr>
      <w:pBdr>
        <w:top w:val="single" w:sz="4" w:space="0" w:color="D0D7E5"/>
        <w:bottom w:val="single" w:sz="4" w:space="0" w:color="D0D7E5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qFormat/>
    <w:pPr>
      <w:pBdr>
        <w:top w:val="single" w:sz="4" w:space="0" w:color="D0D7E5"/>
        <w:bottom w:val="single" w:sz="4" w:space="0" w:color="D0D7E5"/>
        <w:right w:val="single" w:sz="4" w:space="0" w:color="D0D7E5"/>
      </w:pBdr>
      <w:spacing w:beforeAutospacing="1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qFormat/>
    <w:pPr>
      <w:pBdr>
        <w:top w:val="single" w:sz="4" w:space="0" w:color="D0D7E5"/>
        <w:bottom w:val="single" w:sz="4" w:space="0" w:color="D0D7E5"/>
      </w:pBdr>
      <w:spacing w:beforeAutospacing="1" w:afterAutospacing="1" w:line="240" w:lineRule="auto"/>
      <w:jc w:val="center"/>
    </w:pPr>
    <w:rPr>
      <w:rFonts w:ascii="MS Sans Serif" w:eastAsia="Times New Roman" w:hAnsi="MS Sans Serif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qFormat/>
    <w:pPr>
      <w:pBdr>
        <w:top w:val="single" w:sz="4" w:space="0" w:color="D0D7E5"/>
        <w:bottom w:val="single" w:sz="4" w:space="0" w:color="D0D7E5"/>
        <w:right w:val="single" w:sz="4" w:space="0" w:color="D0D7E5"/>
      </w:pBdr>
      <w:spacing w:beforeAutospacing="1" w:afterAutospacing="1" w:line="240" w:lineRule="auto"/>
      <w:jc w:val="center"/>
    </w:pPr>
    <w:rPr>
      <w:rFonts w:ascii="MS Sans Serif" w:eastAsia="Times New Roman" w:hAnsi="MS Sans Serif" w:cs="Times New Roman"/>
      <w:b/>
      <w:bCs/>
      <w:sz w:val="24"/>
      <w:szCs w:val="24"/>
      <w:lang w:eastAsia="ru-RU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customStyle="1" w:styleId="HeaderandFooter">
    <w:name w:val="Header and Footer"/>
    <w:basedOn w:val="a"/>
    <w:qFormat/>
  </w:style>
  <w:style w:type="paragraph" w:styleId="af8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9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a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jkh.nso.ru/page/724.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0885B7CA7D9EA78E3F0C8B65A29D940715C18072FB617C8CE278D6AA9E98DFDD6864CFD41AE8EB3B595BB11EIDZF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91625-0B99-4CBB-A66E-BC6900133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8228</Words>
  <Characters>46902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pc004</dc:creator>
  <dc:description/>
  <cp:lastModifiedBy>Бирюкова Кристина Михайловна</cp:lastModifiedBy>
  <cp:revision>2</cp:revision>
  <dcterms:created xsi:type="dcterms:W3CDTF">2025-06-05T03:36:00Z</dcterms:created>
  <dcterms:modified xsi:type="dcterms:W3CDTF">2025-06-05T03:36:00Z</dcterms:modified>
  <dc:language>ru-RU</dc:language>
</cp:coreProperties>
</file>