
<file path=[Content_Types].xml><?xml version="1.0" encoding="utf-8"?>
<Types xmlns="http://schemas.openxmlformats.org/package/2006/content-types">
  <Default Extension="xlsx" ContentType="application/vnd.openxmlformats-officedocument.spreadsheetml.sheet"/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word/charts/chart3.xml" ContentType="application/vnd.openxmlformats-officedocument.drawingml.chart+xml"/>
  <Override PartName="/docProps/core.xml" ContentType="application/vnd.openxmlformats-package.core-properties+xml"/>
  <Override PartName="/word/charts/style1.xml" ContentType="application/vnd.ms-office.chartstyle+xml"/>
  <Override PartName="/word/charts/chart2.xml" ContentType="application/vnd.openxmlformats-officedocument.drawingml.chart+xml"/>
  <Override PartName="/word/charts/chart1.xml" ContentType="application/vnd.openxmlformats-officedocument.drawingml.chart+xml"/>
  <Override PartName="/word/charts/colors1.xml" ContentType="application/vnd.ms-office.chartcolorstyle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endnotes.xml" ContentType="application/vnd.openxmlformats-officedocument.wordprocessingml.endnotes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Информационно-аналитический обзор и результаты рассмотрения обращений граждан, поступивших в министерство жилищно-коммунального хозяйства и энергетики НСО за </w:t>
      </w:r>
      <w:r>
        <w:rPr>
          <w:rFonts w:ascii="Times New Roman" w:hAnsi="Times New Roman" w:cs="Times New Roman"/>
          <w:b/>
          <w:sz w:val="28"/>
          <w:szCs w:val="28"/>
          <w:lang w:val="en-US"/>
        </w:rPr>
        <w:t xml:space="preserve">III</w:t>
      </w:r>
      <w:r>
        <w:rPr>
          <w:rFonts w:ascii="Times New Roman" w:hAnsi="Times New Roman" w:cs="Times New Roman"/>
          <w:b/>
          <w:sz w:val="28"/>
          <w:szCs w:val="28"/>
        </w:rPr>
        <w:t xml:space="preserve"> квартал 2024</w:t>
      </w:r>
      <w:r>
        <w:rPr>
          <w:rFonts w:ascii="Times New Roman" w:hAnsi="Times New Roman" w:cs="Times New Roman"/>
          <w:b/>
          <w:sz w:val="28"/>
          <w:szCs w:val="28"/>
        </w:rPr>
        <w:t xml:space="preserve"> года.</w:t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jc w:val="both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Работа по рассмотрению обращений граждан в министерстве жилищно-коммунального хозяйства и энергетики Новосибирской области (далее-министерство) осуществляется в соответствии с Конститу</w:t>
      </w:r>
      <w:r>
        <w:rPr>
          <w:rFonts w:ascii="Times New Roman" w:hAnsi="Times New Roman" w:cs="Times New Roman"/>
          <w:sz w:val="28"/>
          <w:szCs w:val="28"/>
        </w:rPr>
        <w:t xml:space="preserve">цией Российской Федерации, Федеральным законом от 02.05.2006 № 59-ФЗ «О порядке рассмотрения обращений граждан Российской Федерации», действующим федеральным и областным законодательством, нормативными правовыми актами Новосибирской области и министерства.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Организацию работы по объективному, всестороннему и своевременному рассмотрению обращений осуществляет отдел организационно-контрольной, кадровой работы министерства. 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Требования к организации работы с обращениями граждан, организаций и общественных объединений и проведе</w:t>
      </w:r>
      <w:r>
        <w:rPr>
          <w:rFonts w:ascii="Times New Roman" w:hAnsi="Times New Roman" w:cs="Times New Roman"/>
          <w:sz w:val="28"/>
          <w:szCs w:val="28"/>
        </w:rPr>
        <w:t xml:space="preserve">нию </w:t>
      </w:r>
      <w:r>
        <w:rPr>
          <w:rFonts w:ascii="Times New Roman" w:hAnsi="Times New Roman" w:cs="Times New Roman"/>
          <w:sz w:val="28"/>
          <w:szCs w:val="28"/>
        </w:rPr>
        <w:t xml:space="preserve">личного приема граждан в министерстве установлены приказом министерства от 26.03.2024 № 52-НПА «Об утверждении инструкции о порядке организации работы с обращениями граждан в министерстве жилищно-коммунального хозяйства и энергетики Новосибирской области».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rPr>
          <w:rFonts w:ascii="Times New Roman" w:hAnsi="Times New Roman" w:cs="Times New Roman"/>
          <w:bCs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 период с 01.07.2024 по 30.09.2024 в министерство поступило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903 </w:t>
      </w:r>
      <w:r>
        <w:rPr>
          <w:rFonts w:ascii="Times New Roman" w:hAnsi="Times New Roman" w:cs="Times New Roman"/>
          <w:sz w:val="28"/>
          <w:szCs w:val="28"/>
        </w:rPr>
        <w:t xml:space="preserve">обращений граждан </w:t>
      </w:r>
      <w:r>
        <w:rPr>
          <w:rFonts w:ascii="Times New Roman" w:hAnsi="Times New Roman" w:cs="Times New Roman"/>
          <w:i/>
          <w:sz w:val="28"/>
          <w:szCs w:val="28"/>
        </w:rPr>
        <w:t xml:space="preserve">(в 3 кв. 2023 884, в 3 2022 – кв. -860, в 3 кв. 2021- 820, </w:t>
      </w:r>
      <w:r>
        <w:rPr>
          <w:rFonts w:ascii="Times New Roman" w:hAnsi="Times New Roman" w:cs="Times New Roman"/>
          <w:bCs/>
          <w:i/>
          <w:sz w:val="28"/>
          <w:szCs w:val="28"/>
        </w:rPr>
      </w:r>
      <w:r>
        <w:rPr>
          <w:rFonts w:ascii="Times New Roman" w:hAnsi="Times New Roman" w:cs="Times New Roman"/>
          <w:bCs/>
          <w:i/>
          <w:sz w:val="28"/>
          <w:szCs w:val="28"/>
        </w:rPr>
      </w:r>
    </w:p>
    <w:p>
      <w:pPr>
        <w:ind w:firstLine="708"/>
        <w:jc w:val="both"/>
        <w:rPr>
          <w:rFonts w:ascii="Times New Roman" w:hAnsi="Times New Roman" w:cs="Times New Roman"/>
          <w:bCs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в -3 кв. 2020 – 718, в -3 кв. 2019 - 775, в 3 кв. 2018 – 857, в 3 кв. 2017 - 638, </w:t>
      </w:r>
      <w:r>
        <w:rPr>
          <w:rFonts w:ascii="Times New Roman" w:hAnsi="Times New Roman" w:cs="Times New Roman"/>
          <w:bCs/>
          <w:i/>
          <w:sz w:val="28"/>
          <w:szCs w:val="28"/>
        </w:rPr>
      </w:r>
      <w:r>
        <w:rPr>
          <w:rFonts w:ascii="Times New Roman" w:hAnsi="Times New Roman" w:cs="Times New Roman"/>
          <w:bCs/>
          <w:i/>
          <w:sz w:val="28"/>
          <w:szCs w:val="28"/>
        </w:rPr>
      </w:r>
    </w:p>
    <w:p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в 3 кв. 2016 - 441),</w:t>
      </w:r>
      <w:r>
        <w:rPr>
          <w:rFonts w:ascii="Times New Roman" w:hAnsi="Times New Roman" w:cs="Times New Roman"/>
          <w:sz w:val="28"/>
          <w:szCs w:val="28"/>
        </w:rPr>
        <w:t xml:space="preserve"> в том числе: письменных обращений –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833</w:t>
      </w:r>
      <w:r>
        <w:rPr>
          <w:rFonts w:ascii="Times New Roman" w:hAnsi="Times New Roman" w:cs="Times New Roman"/>
          <w:sz w:val="28"/>
          <w:szCs w:val="28"/>
        </w:rPr>
        <w:t xml:space="preserve">, личный прием –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32</w:t>
      </w:r>
      <w:r>
        <w:rPr>
          <w:rFonts w:ascii="Times New Roman" w:hAnsi="Times New Roman" w:cs="Times New Roman"/>
          <w:sz w:val="28"/>
          <w:szCs w:val="28"/>
        </w:rPr>
        <w:t xml:space="preserve">, по справочному телефону –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38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both"/>
        <w:spacing w:after="0"/>
        <w:rPr>
          <w:rFonts w:ascii="Times New Roman" w:hAnsi="Times New Roman" w:cs="Times New Roman"/>
          <w:b/>
          <w:color w:val="ff0000"/>
          <w:sz w:val="28"/>
          <w:szCs w:val="28"/>
        </w:rPr>
      </w:pPr>
      <w:r>
        <w:rPr>
          <w:rFonts w:ascii="Times New Roman" w:hAnsi="Times New Roman" w:cs="Times New Roman"/>
          <w:b/>
          <w:color w:val="ff0000"/>
          <w:sz w:val="28"/>
          <w:szCs w:val="28"/>
        </w:rPr>
      </w:r>
      <w:r>
        <w:rPr>
          <w:rFonts w:ascii="Times New Roman" w:hAnsi="Times New Roman" w:cs="Times New Roman"/>
          <w:b/>
          <w:color w:val="ff0000"/>
          <w:sz w:val="28"/>
          <w:szCs w:val="28"/>
        </w:rPr>
      </w:r>
      <w:r>
        <w:rPr>
          <w:rFonts w:ascii="Times New Roman" w:hAnsi="Times New Roman" w:cs="Times New Roman"/>
          <w:b/>
          <w:color w:val="ff0000"/>
          <w:sz w:val="28"/>
          <w:szCs w:val="28"/>
        </w:rPr>
      </w:r>
    </w:p>
    <w:p>
      <w:pPr>
        <w:ind w:firstLine="708"/>
        <w:jc w:val="both"/>
        <w:spacing w:after="0"/>
        <w:rPr>
          <w:rFonts w:ascii="Times New Roman" w:hAnsi="Times New Roman" w:cs="Times New Roman"/>
          <w:b/>
          <w:color w:val="ff0000"/>
          <w:sz w:val="28"/>
          <w:szCs w:val="28"/>
        </w:rPr>
      </w:pPr>
      <w:r>
        <w:rPr>
          <w:rFonts w:ascii="Times New Roman" w:hAnsi="Times New Roman" w:cs="Times New Roman"/>
          <w:b/>
          <w:color w:val="ff0000"/>
          <w:sz w:val="28"/>
          <w:szCs w:val="28"/>
          <w:lang w:eastAsia="ru-RU"/>
        </w:rPr>
        <w:drawing>
          <wp:inline distT="0" distB="0" distL="0" distR="0">
            <wp:extent cx="5486400" cy="3200400"/>
            <wp:effectExtent l="0" t="0" r="0" b="0"/>
            <wp:docPr id="1" name="Диаграмма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  <w:r>
        <w:rPr>
          <w:rFonts w:ascii="Times New Roman" w:hAnsi="Times New Roman" w:cs="Times New Roman"/>
          <w:b/>
          <w:color w:val="ff0000"/>
          <w:sz w:val="28"/>
          <w:szCs w:val="28"/>
        </w:rPr>
      </w:r>
      <w:r>
        <w:rPr>
          <w:rFonts w:ascii="Times New Roman" w:hAnsi="Times New Roman" w:cs="Times New Roman"/>
          <w:b/>
          <w:color w:val="ff0000"/>
          <w:sz w:val="28"/>
          <w:szCs w:val="28"/>
        </w:rPr>
      </w:r>
    </w:p>
    <w:p>
      <w:pPr>
        <w:jc w:val="both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сравнению с </w: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III</w:t>
      </w:r>
      <w:r>
        <w:rPr>
          <w:rFonts w:ascii="Times New Roman" w:hAnsi="Times New Roman" w:cs="Times New Roman"/>
          <w:sz w:val="28"/>
          <w:szCs w:val="28"/>
        </w:rPr>
        <w:t xml:space="preserve"> кварталом 2023 года (884) общее количество обращений граждан в </w: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III</w:t>
      </w:r>
      <w:r>
        <w:rPr>
          <w:rFonts w:ascii="Times New Roman" w:hAnsi="Times New Roman" w:cs="Times New Roman"/>
          <w:sz w:val="28"/>
          <w:szCs w:val="28"/>
        </w:rPr>
        <w:t xml:space="preserve"> квартале 2024 года (903) увеличилось на 19 обращений.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both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highlight w:val="green"/>
          <w:lang w:eastAsia="ru-RU"/>
        </w:rPr>
        <w:drawing>
          <wp:anchor xmlns:wp="http://schemas.openxmlformats.org/drawingml/2006/wordprocessingDrawing" xmlns:wp14="http://schemas.microsoft.com/office/word/2010/wordprocessingDrawing" distT="0" distB="0" distL="114300" distR="114300" simplePos="0" relativeHeight="251658240" behindDoc="0" locked="0" layoutInCell="1" allowOverlap="1">
            <wp:simplePos x="0" y="0"/>
            <wp:positionH relativeFrom="column">
              <wp:align>left</wp:align>
            </wp:positionH>
            <wp:positionV relativeFrom="paragraph">
              <wp:align>top</wp:align>
            </wp:positionV>
            <wp:extent cx="5486399" cy="3524249"/>
            <wp:effectExtent l="4762" t="4762" r="4762" b="4762"/>
            <wp:wrapSquare wrapText="bothSides"/>
            <wp:docPr id="2" name="Диаграмма 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anchor>
        </w:drawing>
      </w:r>
      <w:r>
        <w:rPr>
          <w:rFonts w:ascii="Times New Roman" w:hAnsi="Times New Roman" w:cs="Times New Roman"/>
          <w:sz w:val="28"/>
          <w:szCs w:val="28"/>
        </w:rPr>
        <w:br w:type="textWrapping" w:clear="all"/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</w:r>
      <w:r>
        <w:rPr>
          <w:rFonts w:ascii="Times New Roman" w:hAnsi="Times New Roman" w:cs="Times New Roman"/>
          <w:b/>
          <w:bCs/>
          <w:sz w:val="28"/>
          <w:szCs w:val="28"/>
        </w:rPr>
      </w:r>
      <w:r>
        <w:rPr>
          <w:rFonts w:ascii="Times New Roman" w:hAnsi="Times New Roman" w:cs="Times New Roman"/>
          <w:b/>
          <w:bCs/>
          <w:sz w:val="28"/>
          <w:szCs w:val="28"/>
        </w:rPr>
      </w:r>
    </w:p>
    <w:p>
      <w:pPr>
        <w:jc w:val="both"/>
        <w:spacing w:after="0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highlight w:val="none"/>
        </w:rPr>
      </w:r>
      <w:r>
        <w:rPr>
          <w:rFonts w:ascii="Times New Roman" w:hAnsi="Times New Roman" w:cs="Times New Roman"/>
          <w:b/>
          <w:bCs/>
          <w:sz w:val="28"/>
          <w:szCs w:val="28"/>
        </w:rPr>
      </w:r>
      <w:r>
        <w:rPr>
          <w:rFonts w:ascii="Times New Roman" w:hAnsi="Times New Roman" w:cs="Times New Roman"/>
          <w:b/>
          <w:bCs/>
          <w:sz w:val="28"/>
          <w:szCs w:val="28"/>
        </w:rPr>
      </w:r>
    </w:p>
    <w:p>
      <w:pPr>
        <w:jc w:val="both"/>
        <w:spacing w:after="0"/>
        <w:rPr>
          <w:rFonts w:ascii="Times New Roman" w:hAnsi="Times New Roman" w:cs="Times New Roman"/>
          <w:b/>
          <w:bCs/>
          <w:sz w:val="28"/>
          <w:szCs w:val="28"/>
          <w:highlight w:val="none"/>
        </w:rPr>
      </w:pPr>
      <w:r>
        <w:rPr>
          <w:rFonts w:ascii="Times New Roman" w:hAnsi="Times New Roman" w:cs="Times New Roman"/>
          <w:b/>
          <w:sz w:val="28"/>
          <w:szCs w:val="28"/>
          <w:highlight w:val="none"/>
        </w:rPr>
      </w:r>
      <w:r>
        <w:rPr>
          <w:rFonts w:ascii="Times New Roman" w:hAnsi="Times New Roman" w:cs="Times New Roman"/>
          <w:b/>
          <w:bCs/>
          <w:sz w:val="28"/>
          <w:szCs w:val="28"/>
          <w:highlight w:val="none"/>
        </w:rPr>
      </w:r>
      <w:r>
        <w:rPr>
          <w:rFonts w:ascii="Times New Roman" w:hAnsi="Times New Roman" w:cs="Times New Roman"/>
          <w:b/>
          <w:bCs/>
          <w:sz w:val="28"/>
          <w:szCs w:val="28"/>
          <w:highlight w:val="none"/>
        </w:rPr>
      </w:r>
    </w:p>
    <w:p>
      <w:pPr>
        <w:jc w:val="both"/>
        <w:spacing w:after="0"/>
        <w:rPr>
          <w:rFonts w:ascii="Times New Roman" w:hAnsi="Times New Roman" w:cs="Times New Roman"/>
          <w:b/>
          <w:bCs/>
          <w:sz w:val="28"/>
          <w:szCs w:val="28"/>
          <w:highlight w:val="none"/>
        </w:rPr>
      </w:pPr>
      <w:r>
        <w:rPr>
          <w:rFonts w:ascii="Times New Roman" w:hAnsi="Times New Roman" w:cs="Times New Roman"/>
          <w:b/>
          <w:sz w:val="28"/>
          <w:szCs w:val="28"/>
          <w:highlight w:val="none"/>
        </w:rPr>
      </w:r>
      <w:r>
        <w:rPr>
          <w:rFonts w:ascii="Times New Roman" w:hAnsi="Times New Roman" w:cs="Times New Roman"/>
          <w:b/>
          <w:bCs/>
          <w:sz w:val="28"/>
          <w:szCs w:val="28"/>
          <w:highlight w:val="none"/>
        </w:rPr>
      </w:r>
      <w:r>
        <w:rPr>
          <w:rFonts w:ascii="Times New Roman" w:hAnsi="Times New Roman" w:cs="Times New Roman"/>
          <w:b/>
          <w:bCs/>
          <w:sz w:val="28"/>
          <w:szCs w:val="28"/>
          <w:highlight w:val="none"/>
        </w:rPr>
      </w:r>
    </w:p>
    <w:p>
      <w:pPr>
        <w:jc w:val="both"/>
        <w:spacing w:after="0"/>
        <w:rPr>
          <w:rFonts w:ascii="Times New Roman" w:hAnsi="Times New Roman" w:cs="Times New Roman"/>
          <w:b/>
          <w:bCs/>
          <w:sz w:val="28"/>
          <w:szCs w:val="28"/>
          <w:highlight w:val="none"/>
        </w:rPr>
      </w:pPr>
      <w:r>
        <w:rPr>
          <w:rFonts w:ascii="Times New Roman" w:hAnsi="Times New Roman" w:cs="Times New Roman"/>
          <w:b/>
          <w:sz w:val="28"/>
          <w:szCs w:val="28"/>
          <w:highlight w:val="none"/>
        </w:rPr>
      </w:r>
      <w:r>
        <w:rPr>
          <w:rFonts w:ascii="Times New Roman" w:hAnsi="Times New Roman" w:cs="Times New Roman"/>
          <w:b/>
          <w:bCs/>
          <w:sz w:val="28"/>
          <w:szCs w:val="28"/>
          <w:highlight w:val="none"/>
        </w:rPr>
      </w:r>
      <w:r>
        <w:rPr>
          <w:rFonts w:ascii="Times New Roman" w:hAnsi="Times New Roman" w:cs="Times New Roman"/>
          <w:b/>
          <w:bCs/>
          <w:sz w:val="28"/>
          <w:szCs w:val="28"/>
          <w:highlight w:val="none"/>
        </w:rPr>
      </w:r>
    </w:p>
    <w:p>
      <w:pPr>
        <w:jc w:val="both"/>
        <w:spacing w:after="0"/>
        <w:rPr>
          <w:rFonts w:ascii="Times New Roman" w:hAnsi="Times New Roman" w:cs="Times New Roman"/>
          <w:b/>
          <w:bCs/>
          <w:sz w:val="28"/>
          <w:szCs w:val="28"/>
          <w:highlight w:val="none"/>
        </w:rPr>
      </w:pPr>
      <w:r>
        <w:rPr>
          <w:rFonts w:ascii="Times New Roman" w:hAnsi="Times New Roman" w:cs="Times New Roman"/>
          <w:b/>
          <w:sz w:val="28"/>
          <w:szCs w:val="28"/>
          <w:highlight w:val="none"/>
        </w:rPr>
      </w:r>
      <w:r>
        <w:rPr>
          <w:rFonts w:ascii="Times New Roman" w:hAnsi="Times New Roman" w:cs="Times New Roman"/>
          <w:b/>
          <w:bCs/>
          <w:sz w:val="28"/>
          <w:szCs w:val="28"/>
          <w:highlight w:val="none"/>
        </w:rPr>
      </w:r>
      <w:r>
        <w:rPr>
          <w:rFonts w:ascii="Times New Roman" w:hAnsi="Times New Roman" w:cs="Times New Roman"/>
          <w:b/>
          <w:bCs/>
          <w:sz w:val="28"/>
          <w:szCs w:val="28"/>
          <w:highlight w:val="none"/>
        </w:rPr>
      </w:r>
    </w:p>
    <w:p>
      <w:pPr>
        <w:jc w:val="both"/>
        <w:spacing w:after="0"/>
        <w:rPr>
          <w:rFonts w:ascii="Times New Roman" w:hAnsi="Times New Roman" w:cs="Times New Roman"/>
          <w:b/>
          <w:bCs/>
          <w:sz w:val="28"/>
          <w:szCs w:val="28"/>
          <w:highlight w:val="none"/>
        </w:rPr>
      </w:pPr>
      <w:r>
        <w:rPr>
          <w:rFonts w:ascii="Times New Roman" w:hAnsi="Times New Roman" w:cs="Times New Roman"/>
          <w:b/>
          <w:sz w:val="28"/>
          <w:szCs w:val="28"/>
          <w:highlight w:val="none"/>
        </w:rPr>
      </w:r>
      <w:r>
        <w:rPr>
          <w:rFonts w:ascii="Times New Roman" w:hAnsi="Times New Roman" w:cs="Times New Roman"/>
          <w:b/>
          <w:bCs/>
          <w:sz w:val="28"/>
          <w:szCs w:val="28"/>
          <w:highlight w:val="none"/>
        </w:rPr>
      </w:r>
      <w:r>
        <w:rPr>
          <w:rFonts w:ascii="Times New Roman" w:hAnsi="Times New Roman" w:cs="Times New Roman"/>
          <w:b/>
          <w:bCs/>
          <w:sz w:val="28"/>
          <w:szCs w:val="28"/>
          <w:highlight w:val="none"/>
        </w:rPr>
      </w:r>
    </w:p>
    <w:p>
      <w:pPr>
        <w:jc w:val="both"/>
        <w:spacing w:after="0"/>
        <w:rPr>
          <w:rFonts w:ascii="Times New Roman" w:hAnsi="Times New Roman" w:cs="Times New Roman"/>
          <w:b/>
          <w:bCs/>
          <w:sz w:val="28"/>
          <w:szCs w:val="28"/>
          <w:highlight w:val="none"/>
        </w:rPr>
      </w:pPr>
      <w:r>
        <w:rPr>
          <w:rFonts w:ascii="Times New Roman" w:hAnsi="Times New Roman" w:cs="Times New Roman"/>
          <w:b/>
          <w:sz w:val="28"/>
          <w:szCs w:val="28"/>
          <w:highlight w:val="none"/>
        </w:rPr>
      </w:r>
      <w:r>
        <w:rPr>
          <w:rFonts w:ascii="Times New Roman" w:hAnsi="Times New Roman" w:cs="Times New Roman"/>
          <w:b/>
          <w:bCs/>
          <w:sz w:val="28"/>
          <w:szCs w:val="28"/>
          <w:highlight w:val="none"/>
        </w:rPr>
      </w:r>
      <w:r>
        <w:rPr>
          <w:rFonts w:ascii="Times New Roman" w:hAnsi="Times New Roman" w:cs="Times New Roman"/>
          <w:b/>
          <w:bCs/>
          <w:sz w:val="28"/>
          <w:szCs w:val="28"/>
          <w:highlight w:val="none"/>
        </w:rPr>
      </w:r>
    </w:p>
    <w:p>
      <w:pPr>
        <w:jc w:val="both"/>
        <w:spacing w:after="0"/>
        <w:rPr>
          <w:rFonts w:ascii="Times New Roman" w:hAnsi="Times New Roman" w:cs="Times New Roman"/>
          <w:b/>
          <w:bCs/>
          <w:sz w:val="28"/>
          <w:szCs w:val="28"/>
          <w:highlight w:val="none"/>
        </w:rPr>
      </w:pPr>
      <w:r>
        <w:rPr>
          <w:rFonts w:ascii="Times New Roman" w:hAnsi="Times New Roman" w:cs="Times New Roman"/>
          <w:b/>
          <w:sz w:val="28"/>
          <w:szCs w:val="28"/>
          <w:highlight w:val="none"/>
        </w:rPr>
      </w:r>
      <w:r>
        <w:rPr>
          <w:rFonts w:ascii="Times New Roman" w:hAnsi="Times New Roman" w:cs="Times New Roman"/>
          <w:b/>
          <w:bCs/>
          <w:sz w:val="28"/>
          <w:szCs w:val="28"/>
          <w:highlight w:val="none"/>
        </w:rPr>
      </w:r>
      <w:r>
        <w:rPr>
          <w:rFonts w:ascii="Times New Roman" w:hAnsi="Times New Roman" w:cs="Times New Roman"/>
          <w:b/>
          <w:bCs/>
          <w:sz w:val="28"/>
          <w:szCs w:val="28"/>
          <w:highlight w:val="none"/>
        </w:rPr>
      </w:r>
    </w:p>
    <w:p>
      <w:pPr>
        <w:jc w:val="both"/>
        <w:spacing w:after="0"/>
        <w:rPr>
          <w:rFonts w:ascii="Times New Roman" w:hAnsi="Times New Roman" w:cs="Times New Roman"/>
          <w:b/>
          <w:bCs/>
          <w:sz w:val="28"/>
          <w:szCs w:val="28"/>
          <w:highlight w:val="none"/>
        </w:rPr>
      </w:pPr>
      <w:r>
        <w:rPr>
          <w:rFonts w:ascii="Times New Roman" w:hAnsi="Times New Roman" w:cs="Times New Roman"/>
          <w:b/>
          <w:sz w:val="28"/>
          <w:szCs w:val="28"/>
          <w:highlight w:val="none"/>
        </w:rPr>
      </w:r>
      <w:r>
        <w:rPr>
          <w:rFonts w:ascii="Times New Roman" w:hAnsi="Times New Roman" w:cs="Times New Roman"/>
          <w:b/>
          <w:bCs/>
          <w:sz w:val="28"/>
          <w:szCs w:val="28"/>
          <w:highlight w:val="none"/>
        </w:rPr>
      </w:r>
      <w:r>
        <w:rPr>
          <w:rFonts w:ascii="Times New Roman" w:hAnsi="Times New Roman" w:cs="Times New Roman"/>
          <w:b/>
          <w:bCs/>
          <w:sz w:val="28"/>
          <w:szCs w:val="28"/>
          <w:highlight w:val="none"/>
        </w:rPr>
      </w:r>
    </w:p>
    <w:p>
      <w:pPr>
        <w:jc w:val="both"/>
        <w:spacing w:after="0"/>
        <w:rPr>
          <w:rFonts w:ascii="Times New Roman" w:hAnsi="Times New Roman" w:cs="Times New Roman"/>
          <w:b/>
          <w:bCs/>
          <w:sz w:val="28"/>
          <w:szCs w:val="28"/>
          <w:highlight w:val="none"/>
        </w:rPr>
      </w:pPr>
      <w:r>
        <w:rPr>
          <w:rFonts w:ascii="Times New Roman" w:hAnsi="Times New Roman" w:cs="Times New Roman"/>
          <w:b/>
          <w:sz w:val="28"/>
          <w:szCs w:val="28"/>
          <w:highlight w:val="none"/>
        </w:rPr>
      </w:r>
      <w:r>
        <w:rPr>
          <w:rFonts w:ascii="Times New Roman" w:hAnsi="Times New Roman" w:cs="Times New Roman"/>
          <w:b/>
          <w:bCs/>
          <w:sz w:val="28"/>
          <w:szCs w:val="28"/>
          <w:highlight w:val="none"/>
        </w:rPr>
      </w:r>
      <w:r>
        <w:rPr>
          <w:rFonts w:ascii="Times New Roman" w:hAnsi="Times New Roman" w:cs="Times New Roman"/>
          <w:b/>
          <w:bCs/>
          <w:sz w:val="28"/>
          <w:szCs w:val="28"/>
          <w:highlight w:val="none"/>
        </w:rPr>
      </w:r>
    </w:p>
    <w:p>
      <w:pPr>
        <w:jc w:val="both"/>
        <w:spacing w:after="0"/>
        <w:rPr>
          <w:rFonts w:ascii="Times New Roman" w:hAnsi="Times New Roman" w:cs="Times New Roman"/>
          <w:b/>
          <w:bCs/>
          <w:sz w:val="28"/>
          <w:szCs w:val="28"/>
          <w:highlight w:val="none"/>
        </w:rPr>
      </w:pPr>
      <w:r>
        <w:rPr>
          <w:rFonts w:ascii="Times New Roman" w:hAnsi="Times New Roman" w:cs="Times New Roman"/>
          <w:b/>
          <w:sz w:val="28"/>
          <w:szCs w:val="28"/>
          <w:highlight w:val="none"/>
        </w:rPr>
      </w:r>
      <w:r>
        <w:rPr>
          <w:rFonts w:ascii="Times New Roman" w:hAnsi="Times New Roman" w:cs="Times New Roman"/>
          <w:b/>
          <w:bCs/>
          <w:sz w:val="28"/>
          <w:szCs w:val="28"/>
          <w:highlight w:val="none"/>
        </w:rPr>
      </w:r>
      <w:r>
        <w:rPr>
          <w:rFonts w:ascii="Times New Roman" w:hAnsi="Times New Roman" w:cs="Times New Roman"/>
          <w:b/>
          <w:bCs/>
          <w:sz w:val="28"/>
          <w:szCs w:val="28"/>
          <w:highlight w:val="none"/>
        </w:rPr>
      </w:r>
    </w:p>
    <w:p>
      <w:pPr>
        <w:jc w:val="both"/>
        <w:spacing w:after="0"/>
        <w:rPr>
          <w:rFonts w:ascii="Times New Roman" w:hAnsi="Times New Roman" w:cs="Times New Roman"/>
          <w:b/>
          <w:bCs/>
          <w:sz w:val="28"/>
          <w:szCs w:val="28"/>
          <w:highlight w:val="none"/>
        </w:rPr>
      </w:pPr>
      <w:r>
        <w:rPr>
          <w:rFonts w:ascii="Times New Roman" w:hAnsi="Times New Roman" w:cs="Times New Roman"/>
          <w:b/>
          <w:sz w:val="28"/>
          <w:szCs w:val="28"/>
          <w:highlight w:val="none"/>
        </w:rPr>
      </w:r>
      <w:r>
        <w:rPr>
          <w:rFonts w:ascii="Times New Roman" w:hAnsi="Times New Roman" w:cs="Times New Roman"/>
          <w:b/>
          <w:bCs/>
          <w:sz w:val="28"/>
          <w:szCs w:val="28"/>
          <w:highlight w:val="none"/>
        </w:rPr>
      </w:r>
      <w:r>
        <w:rPr>
          <w:rFonts w:ascii="Times New Roman" w:hAnsi="Times New Roman" w:cs="Times New Roman"/>
          <w:b/>
          <w:bCs/>
          <w:sz w:val="28"/>
          <w:szCs w:val="28"/>
          <w:highlight w:val="none"/>
        </w:rPr>
      </w:r>
    </w:p>
    <w:p>
      <w:pPr>
        <w:jc w:val="both"/>
        <w:spacing w:after="0"/>
        <w:rPr>
          <w:rFonts w:ascii="Times New Roman" w:hAnsi="Times New Roman" w:cs="Times New Roman"/>
          <w:b/>
          <w:bCs/>
          <w:sz w:val="28"/>
          <w:szCs w:val="28"/>
          <w:highlight w:val="none"/>
        </w:rPr>
      </w:pPr>
      <w:r>
        <w:rPr>
          <w:rFonts w:ascii="Times New Roman" w:hAnsi="Times New Roman" w:cs="Times New Roman"/>
          <w:b/>
          <w:sz w:val="28"/>
          <w:szCs w:val="28"/>
          <w:highlight w:val="none"/>
        </w:rPr>
      </w:r>
      <w:r>
        <w:rPr>
          <w:rFonts w:ascii="Times New Roman" w:hAnsi="Times New Roman" w:cs="Times New Roman"/>
          <w:b/>
          <w:bCs/>
          <w:sz w:val="28"/>
          <w:szCs w:val="28"/>
          <w:highlight w:val="none"/>
        </w:rPr>
      </w:r>
      <w:r>
        <w:rPr>
          <w:rFonts w:ascii="Times New Roman" w:hAnsi="Times New Roman" w:cs="Times New Roman"/>
          <w:b/>
          <w:bCs/>
          <w:sz w:val="28"/>
          <w:szCs w:val="28"/>
          <w:highlight w:val="none"/>
        </w:rPr>
      </w:r>
    </w:p>
    <w:p>
      <w:pPr>
        <w:jc w:val="both"/>
        <w:spacing w:after="0"/>
        <w:rPr>
          <w:rFonts w:ascii="Times New Roman" w:hAnsi="Times New Roman" w:cs="Times New Roman"/>
          <w:b/>
          <w:bCs/>
          <w:sz w:val="28"/>
          <w:szCs w:val="28"/>
          <w:highlight w:val="none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Письменные обращения граждан</w:t>
      </w:r>
      <w:r>
        <w:rPr>
          <w:rFonts w:ascii="Times New Roman" w:hAnsi="Times New Roman" w:cs="Times New Roman"/>
          <w:b/>
          <w:bCs/>
          <w:sz w:val="28"/>
          <w:szCs w:val="28"/>
          <w:highlight w:val="none"/>
        </w:rPr>
      </w:r>
      <w:r>
        <w:rPr>
          <w:rFonts w:ascii="Times New Roman" w:hAnsi="Times New Roman" w:cs="Times New Roman"/>
          <w:b/>
          <w:bCs/>
          <w:sz w:val="28"/>
          <w:szCs w:val="28"/>
          <w:highlight w:val="none"/>
        </w:rPr>
      </w:r>
    </w:p>
    <w:p>
      <w:pPr>
        <w:ind w:firstLine="708"/>
        <w:jc w:val="both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Из 865 письменных обращений</w:t>
      </w:r>
      <w:r>
        <w:rPr>
          <w:rFonts w:ascii="Times New Roman" w:hAnsi="Times New Roman" w:cs="Times New Roman"/>
          <w:sz w:val="28"/>
          <w:szCs w:val="28"/>
        </w:rPr>
        <w:t xml:space="preserve"> 381 обращение</w:t>
      </w:r>
      <w:r>
        <w:rPr>
          <w:rFonts w:ascii="Times New Roman" w:hAnsi="Times New Roman" w:cs="Times New Roman"/>
          <w:sz w:val="28"/>
          <w:szCs w:val="28"/>
        </w:rPr>
        <w:t xml:space="preserve"> поступило на рассмотрение в министерство из общественной приемной Губерна</w:t>
      </w:r>
      <w:r>
        <w:rPr>
          <w:rFonts w:ascii="Times New Roman" w:hAnsi="Times New Roman" w:cs="Times New Roman"/>
          <w:sz w:val="28"/>
          <w:szCs w:val="28"/>
        </w:rPr>
        <w:t xml:space="preserve">тора Новосибирской области и 325</w:t>
      </w:r>
      <w:r>
        <w:rPr>
          <w:rFonts w:ascii="Times New Roman" w:hAnsi="Times New Roman" w:cs="Times New Roman"/>
          <w:sz w:val="28"/>
          <w:szCs w:val="28"/>
        </w:rPr>
        <w:t xml:space="preserve"> обращений поступило непосредственно в министерство. По поручению Губернатора Новосибирской области было рассмотрено и под</w:t>
      </w:r>
      <w:r>
        <w:rPr>
          <w:rFonts w:ascii="Times New Roman" w:hAnsi="Times New Roman" w:cs="Times New Roman"/>
          <w:sz w:val="28"/>
          <w:szCs w:val="28"/>
        </w:rPr>
        <w:t xml:space="preserve">готовлено проектов ответов на 30</w:t>
      </w:r>
      <w:r>
        <w:rPr>
          <w:rFonts w:ascii="Times New Roman" w:hAnsi="Times New Roman" w:cs="Times New Roman"/>
          <w:sz w:val="28"/>
          <w:szCs w:val="28"/>
        </w:rPr>
        <w:t xml:space="preserve"> обращений граждан. По поручению заместителя Губернатора Петухова Ю.Ф., первого заместителя Председателя Правительства Новосибирской области Знаткова В.М. и заместителя Губернатора Сёмки С.Н. рассмотрено и подготовлен</w:t>
      </w:r>
      <w:r>
        <w:rPr>
          <w:rFonts w:ascii="Times New Roman" w:hAnsi="Times New Roman" w:cs="Times New Roman"/>
          <w:sz w:val="28"/>
          <w:szCs w:val="28"/>
        </w:rPr>
        <w:t xml:space="preserve">о проектов ответов на 97 обращений</w:t>
      </w:r>
      <w:r>
        <w:rPr>
          <w:rFonts w:ascii="Times New Roman" w:hAnsi="Times New Roman" w:cs="Times New Roman"/>
          <w:sz w:val="20"/>
          <w:szCs w:val="20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 xml:space="preserve">На личном приеме принято 32 заявителя (зарегистрировано 32</w:t>
      </w:r>
      <w:r>
        <w:rPr>
          <w:rFonts w:ascii="Times New Roman" w:hAnsi="Times New Roman" w:cs="Times New Roman"/>
          <w:sz w:val="28"/>
          <w:szCs w:val="28"/>
        </w:rPr>
        <w:t xml:space="preserve"> карточки личного приема).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Личный прием</w:t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 постановлением Губернатора Новосибирской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от 25.12.2006 № 516 «О совершенствовании организации личных приемов граждан в администрации Губернатора Новосибирской области и Правительства Новосибирской области, областных исполнительных органах государственной власти Новосибирской области» установлен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единый день личного приема</w:t>
      </w:r>
      <w:r>
        <w:rPr>
          <w:rFonts w:ascii="Times New Roman" w:hAnsi="Times New Roman" w:cs="Times New Roman"/>
          <w:bCs/>
          <w:sz w:val="28"/>
          <w:szCs w:val="28"/>
        </w:rPr>
        <w:t xml:space="preserve"> граждан </w:t>
      </w:r>
      <w:r>
        <w:rPr>
          <w:rFonts w:ascii="Times New Roman" w:hAnsi="Times New Roman" w:cs="Times New Roman"/>
          <w:sz w:val="28"/>
          <w:szCs w:val="28"/>
        </w:rPr>
        <w:t xml:space="preserve">Губернатором Новосибирской области, заместителями </w:t>
      </w:r>
      <w:r>
        <w:rPr>
          <w:rFonts w:ascii="Times New Roman" w:hAnsi="Times New Roman" w:cs="Times New Roman"/>
          <w:sz w:val="28"/>
          <w:szCs w:val="28"/>
        </w:rPr>
        <w:t xml:space="preserve">Губернатора Новосибирской области, руководителями структурных подразделений администрации Губернатора Новосибирской области и Правительства Новосибирской области, руководителями областных исполнительных органов государственной власти Новосибирской области </w:t>
      </w:r>
      <w:r>
        <w:rPr>
          <w:rFonts w:ascii="Times New Roman" w:hAnsi="Times New Roman" w:cs="Times New Roman"/>
          <w:bCs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 xml:space="preserve">каждая пятница месяца с 14.00.  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III</w:t>
      </w:r>
      <w:r>
        <w:rPr>
          <w:rFonts w:ascii="Times New Roman" w:hAnsi="Times New Roman" w:cs="Times New Roman"/>
          <w:sz w:val="28"/>
          <w:szCs w:val="28"/>
        </w:rPr>
        <w:t xml:space="preserve"> квартале 2023</w:t>
      </w:r>
      <w:r>
        <w:rPr>
          <w:rFonts w:ascii="Times New Roman" w:hAnsi="Times New Roman" w:cs="Times New Roman"/>
          <w:sz w:val="28"/>
          <w:szCs w:val="28"/>
        </w:rPr>
        <w:t xml:space="preserve"> года министр жилищно-коммунального хозяйства и энергетики Новосибирской области министр и уполномочен</w:t>
      </w:r>
      <w:r>
        <w:rPr>
          <w:rFonts w:ascii="Times New Roman" w:hAnsi="Times New Roman" w:cs="Times New Roman"/>
          <w:sz w:val="28"/>
          <w:szCs w:val="28"/>
        </w:rPr>
        <w:t xml:space="preserve">ные лица министерства приняли 23</w:t>
      </w:r>
      <w:r>
        <w:rPr>
          <w:rFonts w:ascii="Times New Roman" w:hAnsi="Times New Roman" w:cs="Times New Roman"/>
          <w:sz w:val="28"/>
          <w:szCs w:val="28"/>
        </w:rPr>
        <w:t xml:space="preserve"> человек</w:t>
      </w:r>
      <w:r>
        <w:rPr>
          <w:rFonts w:ascii="Times New Roman" w:hAnsi="Times New Roman" w:cs="Times New Roman"/>
          <w:sz w:val="28"/>
          <w:szCs w:val="28"/>
        </w:rPr>
        <w:t xml:space="preserve">а на личном приеме по 23</w:t>
      </w:r>
      <w:r>
        <w:rPr>
          <w:rFonts w:ascii="Times New Roman" w:hAnsi="Times New Roman" w:cs="Times New Roman"/>
          <w:sz w:val="28"/>
          <w:szCs w:val="28"/>
        </w:rPr>
        <w:t xml:space="preserve"> вопросам. 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 аналогичный период 2024</w:t>
      </w:r>
      <w:r>
        <w:rPr>
          <w:rFonts w:ascii="Times New Roman" w:hAnsi="Times New Roman" w:cs="Times New Roman"/>
          <w:sz w:val="28"/>
          <w:szCs w:val="28"/>
        </w:rPr>
        <w:t xml:space="preserve"> года н</w:t>
      </w:r>
      <w:r>
        <w:rPr>
          <w:rFonts w:ascii="Times New Roman" w:hAnsi="Times New Roman" w:cs="Times New Roman"/>
          <w:sz w:val="28"/>
          <w:szCs w:val="28"/>
        </w:rPr>
        <w:t xml:space="preserve">а личном приеме было принято 32 </w:t>
      </w:r>
      <w:r>
        <w:rPr>
          <w:rFonts w:ascii="Times New Roman" w:hAnsi="Times New Roman" w:cs="Times New Roman"/>
          <w:sz w:val="28"/>
          <w:szCs w:val="28"/>
        </w:rPr>
        <w:t xml:space="preserve">человек</w:t>
      </w:r>
      <w:r>
        <w:rPr>
          <w:rFonts w:ascii="Times New Roman" w:hAnsi="Times New Roman" w:cs="Times New Roman"/>
          <w:sz w:val="28"/>
          <w:szCs w:val="28"/>
        </w:rPr>
        <w:t xml:space="preserve">а по 32</w:t>
      </w:r>
      <w:r>
        <w:rPr>
          <w:rFonts w:ascii="Times New Roman" w:hAnsi="Times New Roman" w:cs="Times New Roman"/>
          <w:sz w:val="28"/>
          <w:szCs w:val="28"/>
        </w:rPr>
        <w:t xml:space="preserve"> вопросам. Таким образом, общее количество граждан, принятых на личном приеме в </w: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III</w:t>
      </w:r>
      <w:r>
        <w:rPr>
          <w:rFonts w:ascii="Times New Roman" w:hAnsi="Times New Roman" w:cs="Times New Roman"/>
          <w:sz w:val="28"/>
          <w:szCs w:val="28"/>
        </w:rPr>
        <w:t xml:space="preserve"> квартале 2024 года увеличилось на 9 заявителей. 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Тематика обращений граждан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Письменные обращения граждан (в том числе личный прием), поступившие в министерство, распределились по направлениям деятельности следующим образом: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ТКО/ТБО – 103</w:t>
      </w:r>
      <w:r>
        <w:rPr>
          <w:rFonts w:ascii="Times New Roman" w:hAnsi="Times New Roman" w:cs="Times New Roman"/>
          <w:sz w:val="28"/>
          <w:szCs w:val="28"/>
        </w:rPr>
        <w:t xml:space="preserve">,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Деятельность УК и ГЖИ НСО – 6</w:t>
      </w:r>
      <w:r>
        <w:rPr>
          <w:rFonts w:ascii="Times New Roman" w:hAnsi="Times New Roman" w:cs="Times New Roman"/>
          <w:sz w:val="28"/>
          <w:szCs w:val="28"/>
        </w:rPr>
        <w:t xml:space="preserve">2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Капитальный ре</w:t>
      </w:r>
      <w:r>
        <w:rPr>
          <w:rFonts w:ascii="Times New Roman" w:hAnsi="Times New Roman" w:cs="Times New Roman"/>
          <w:sz w:val="28"/>
          <w:szCs w:val="28"/>
        </w:rPr>
        <w:t xml:space="preserve">монт многоквартирных домов – 197</w:t>
      </w:r>
      <w:r>
        <w:rPr>
          <w:rFonts w:ascii="Times New Roman" w:hAnsi="Times New Roman" w:cs="Times New Roman"/>
          <w:sz w:val="28"/>
          <w:szCs w:val="28"/>
        </w:rPr>
        <w:t xml:space="preserve">,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Газификация – 104</w:t>
      </w:r>
      <w:r>
        <w:rPr>
          <w:rFonts w:ascii="Times New Roman" w:hAnsi="Times New Roman" w:cs="Times New Roman"/>
          <w:sz w:val="28"/>
          <w:szCs w:val="28"/>
        </w:rPr>
        <w:t xml:space="preserve">,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Переселение из</w:t>
      </w:r>
      <w:r>
        <w:rPr>
          <w:rFonts w:ascii="Times New Roman" w:hAnsi="Times New Roman" w:cs="Times New Roman"/>
          <w:sz w:val="28"/>
          <w:szCs w:val="28"/>
        </w:rPr>
        <w:t xml:space="preserve"> аварийного и ветхого жилья – 92</w:t>
      </w:r>
      <w:r>
        <w:rPr>
          <w:rFonts w:ascii="Times New Roman" w:hAnsi="Times New Roman" w:cs="Times New Roman"/>
          <w:sz w:val="28"/>
          <w:szCs w:val="28"/>
        </w:rPr>
        <w:t xml:space="preserve">,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Водоснабжение – 91</w:t>
      </w:r>
      <w:r>
        <w:rPr>
          <w:rFonts w:ascii="Times New Roman" w:hAnsi="Times New Roman" w:cs="Times New Roman"/>
          <w:sz w:val="28"/>
          <w:szCs w:val="28"/>
        </w:rPr>
        <w:t xml:space="preserve">,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Оплата за коммуна</w:t>
      </w:r>
      <w:r>
        <w:rPr>
          <w:rFonts w:ascii="Times New Roman" w:hAnsi="Times New Roman" w:cs="Times New Roman"/>
          <w:sz w:val="28"/>
          <w:szCs w:val="28"/>
        </w:rPr>
        <w:t xml:space="preserve">льные услуги и за капремонт – 18</w:t>
      </w:r>
      <w:r>
        <w:rPr>
          <w:rFonts w:ascii="Times New Roman" w:hAnsi="Times New Roman" w:cs="Times New Roman"/>
          <w:sz w:val="28"/>
          <w:szCs w:val="28"/>
        </w:rPr>
        <w:t xml:space="preserve">,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Благоустройство – 47</w:t>
      </w:r>
      <w:r>
        <w:rPr>
          <w:rFonts w:ascii="Times New Roman" w:hAnsi="Times New Roman" w:cs="Times New Roman"/>
          <w:sz w:val="28"/>
          <w:szCs w:val="28"/>
        </w:rPr>
        <w:t xml:space="preserve">,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Теплоснабжение – 50</w:t>
      </w:r>
      <w:r>
        <w:rPr>
          <w:rFonts w:ascii="Times New Roman" w:hAnsi="Times New Roman" w:cs="Times New Roman"/>
          <w:sz w:val="28"/>
          <w:szCs w:val="28"/>
        </w:rPr>
        <w:t xml:space="preserve">,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Электроснабжение – 78</w:t>
      </w:r>
      <w:r>
        <w:rPr>
          <w:rFonts w:ascii="Times New Roman" w:hAnsi="Times New Roman" w:cs="Times New Roman"/>
          <w:sz w:val="28"/>
          <w:szCs w:val="28"/>
        </w:rPr>
        <w:t xml:space="preserve">,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Канализация – 19</w:t>
      </w:r>
      <w:r>
        <w:rPr>
          <w:rFonts w:ascii="Times New Roman" w:hAnsi="Times New Roman" w:cs="Times New Roman"/>
          <w:sz w:val="28"/>
          <w:szCs w:val="28"/>
        </w:rPr>
        <w:t xml:space="preserve">,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ЧС – </w:t>
      </w:r>
      <w:r>
        <w:rPr>
          <w:rFonts w:ascii="Times New Roman" w:hAnsi="Times New Roman" w:cs="Times New Roman"/>
          <w:sz w:val="28"/>
          <w:szCs w:val="28"/>
        </w:rPr>
        <w:t xml:space="preserve">4</w:t>
      </w:r>
      <w:r>
        <w:rPr>
          <w:rFonts w:ascii="Times New Roman" w:hAnsi="Times New Roman" w:cs="Times New Roman"/>
          <w:sz w:val="28"/>
          <w:szCs w:val="28"/>
        </w:rPr>
        <w:t xml:space="preserve">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Итого: 865 обращений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</w:r>
      <w:r>
        <w:rPr>
          <w:rFonts w:ascii="Times New Roman" w:hAnsi="Times New Roman" w:cs="Times New Roman"/>
          <w:sz w:val="28"/>
          <w:szCs w:val="28"/>
          <w:lang w:eastAsia="ru-RU"/>
        </w:rPr>
        <w:drawing>
          <wp:inline distT="0" distB="0" distL="0" distR="0">
            <wp:extent cx="5557961" cy="3275937"/>
            <wp:effectExtent l="4762" t="4762" r="4762" b="4762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  <w:r>
        <w:rPr>
          <w:rFonts w:ascii="Times New Roman" w:hAnsi="Times New Roman" w:cs="Times New Roman"/>
          <w:sz w:val="28"/>
          <w:szCs w:val="28"/>
          <w:lang w:eastAsia="ru-RU"/>
        </w:rPr>
      </w:r>
      <w:bookmarkStart w:id="0" w:name="_GoBack"/>
      <w:r>
        <w:rPr>
          <w:rFonts w:ascii="Times New Roman" w:hAnsi="Times New Roman" w:cs="Times New Roman"/>
          <w:sz w:val="28"/>
          <w:szCs w:val="28"/>
          <w:lang w:eastAsia="ru-RU"/>
        </w:rPr>
      </w:r>
      <w:bookmarkEnd w:id="0"/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rPr>
          <w:rFonts w:ascii="Times New Roman" w:hAnsi="Times New Roman" w:cs="Times New Roman"/>
          <w:sz w:val="28"/>
          <w:szCs w:val="28"/>
          <w:highlight w:val="none"/>
        </w:rPr>
      </w:pPr>
      <w:r>
        <w:rPr>
          <w:rFonts w:ascii="Times New Roman" w:hAnsi="Times New Roman" w:cs="Times New Roman"/>
          <w:sz w:val="28"/>
          <w:szCs w:val="28"/>
        </w:rPr>
        <w:t xml:space="preserve">В том числе, специалистами министерства отработаны сообщения граждан в количестве 1731, поступившие в ходе «Прямой линии» и пресс-конференции «Итоги с Владимиром Путиным» 14.12.2023.</w:t>
      </w:r>
      <w:r>
        <w:rPr>
          <w:rFonts w:ascii="Times New Roman" w:hAnsi="Times New Roman" w:cs="Times New Roman"/>
          <w:sz w:val="28"/>
          <w:szCs w:val="28"/>
          <w:highlight w:val="none"/>
        </w:rPr>
      </w:r>
      <w:r>
        <w:rPr>
          <w:rFonts w:ascii="Times New Roman" w:hAnsi="Times New Roman" w:cs="Times New Roman"/>
          <w:sz w:val="28"/>
          <w:szCs w:val="28"/>
          <w:highlight w:val="none"/>
        </w:rPr>
      </w:r>
    </w:p>
    <w:p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highlight w:val="none"/>
        </w:rPr>
        <w:t xml:space="preserve">Из них 225 сообщений находятся в режиме «отложенного решения». Оставшиеся 1506 сообщений рассмотрены, исполнены и даны разъяснения  каждому заявителю в устной форме по телефону.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Большая часть вопросов из письменных обращений граждан, затронутых жителями касается работы МУП «САХ», переселения из </w:t>
      </w:r>
      <w:r>
        <w:rPr>
          <w:rFonts w:ascii="Times New Roman" w:hAnsi="Times New Roman" w:cs="Times New Roman"/>
          <w:sz w:val="28"/>
          <w:szCs w:val="28"/>
        </w:rPr>
        <w:t xml:space="preserve">ветхого и аварийного жилья, деятельности управляющих организаций и их проверки, а также капитального ремонта многоквартирных домов: об исключении многоквартирного дома из региональной программы капитального ремонта, об актуализации региональной программы к</w:t>
      </w:r>
      <w:r>
        <w:rPr>
          <w:rFonts w:ascii="Times New Roman" w:hAnsi="Times New Roman" w:cs="Times New Roman"/>
          <w:sz w:val="28"/>
          <w:szCs w:val="28"/>
        </w:rPr>
        <w:t xml:space="preserve">апитального ремонта, о переносе и замене сроков капитального ремонта, взносов за капитальный ремонт, о содержании и текущем ремонте общего имущества многоквартирного дома, о тарифах и начислениях за коммунальные платежи. И вопросов коммунального комплекса.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отдел комфортной городской среды министерства жилищно-коммунального хозяйства </w:t>
      </w:r>
      <w:r>
        <w:rPr>
          <w:rFonts w:ascii="Times New Roman" w:hAnsi="Times New Roman" w:cs="Times New Roman"/>
          <w:sz w:val="28"/>
          <w:szCs w:val="28"/>
        </w:rPr>
        <w:t xml:space="preserve">и энергетики Новосибирской области поступили обращения граждан по вопросам: организации сбора и вывоза твердых коммунальных отходов (далее – ТКО), о перерасчете начислений за коммунальную услугу по обращению с ТКО, о заключении договоров на оказание услуги</w:t>
      </w:r>
      <w:r>
        <w:rPr>
          <w:rFonts w:ascii="Times New Roman" w:hAnsi="Times New Roman" w:cs="Times New Roman"/>
          <w:sz w:val="28"/>
          <w:szCs w:val="28"/>
        </w:rPr>
        <w:t xml:space="preserve"> по обращению с ТКО с региональным оператором по обращению с ТКО на территории Новосибирской области – МУП «САХ»  (далее – региональный оператор), об уборке придомовых территорий, о завершении работ по благоустройству придомовых территорий.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вопросам обращения с ТКО совместно с региональным оператором рассмотрены обращения граждан, даны разъяснения в части законодательства Российской Федерации, Федерального закона от 24.06.1998 № 89-ФЗ «Об отходах производств</w:t>
      </w:r>
      <w:r>
        <w:rPr>
          <w:rFonts w:ascii="Times New Roman" w:hAnsi="Times New Roman" w:cs="Times New Roman"/>
          <w:sz w:val="28"/>
          <w:szCs w:val="28"/>
        </w:rPr>
        <w:t xml:space="preserve">а и потребления», и реализации мероприятий в рамках государственной программы «Развитие системы обращения с отходами производства и потребления в Новосибирской области», утвержденной постановлением Правительства Новосибирской области от 19.01.2015 № 10-п. 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/>
        <w:rPr>
          <w:rFonts w:ascii="Times New Roman" w:hAnsi="Times New Roman" w:cs="Times New Roman"/>
          <w:sz w:val="28"/>
          <w:szCs w:val="28"/>
          <w:highlight w:val="none"/>
        </w:rPr>
      </w:pPr>
      <w:r>
        <w:rPr>
          <w:rFonts w:ascii="Times New Roman" w:hAnsi="Times New Roman" w:cs="Times New Roman"/>
          <w:sz w:val="28"/>
          <w:szCs w:val="28"/>
        </w:rPr>
        <w:t xml:space="preserve">По вопросам содержания и благоустройства территорий рассмотрены обращения граждан, даны разъяснения в части Фе</w:t>
      </w:r>
      <w:r>
        <w:rPr>
          <w:rFonts w:ascii="Times New Roman" w:hAnsi="Times New Roman" w:cs="Times New Roman"/>
          <w:sz w:val="28"/>
          <w:szCs w:val="28"/>
        </w:rPr>
        <w:t xml:space="preserve">дерального закона от 06.10.2003 № 131-ФЗ «Об общих принципах организации местного самоуправления в Российской Федерации» и реализации мероприятий, в рамках подпрограммы «Благоустройство территорий населенных пунктов» государственной программы Новосибирской</w:t>
      </w:r>
      <w:r>
        <w:rPr>
          <w:rFonts w:ascii="Times New Roman" w:hAnsi="Times New Roman" w:cs="Times New Roman"/>
          <w:sz w:val="28"/>
          <w:szCs w:val="28"/>
        </w:rPr>
        <w:t xml:space="preserve"> области «Жилищно-коммунальное хозяйство Новосибирской области», утвержденной постановлением Правительства Новосибирской области от 16.02.2015 № 66-п о возможности благоустройства общественных пространств. Данная информация доведена до сведения заявителей.</w:t>
      </w:r>
      <w:r>
        <w:rPr>
          <w:rFonts w:ascii="Times New Roman" w:hAnsi="Times New Roman" w:cs="Times New Roman"/>
          <w:sz w:val="28"/>
          <w:szCs w:val="28"/>
          <w:highlight w:val="none"/>
        </w:rPr>
      </w:r>
      <w:r>
        <w:rPr>
          <w:rFonts w:ascii="Times New Roman" w:hAnsi="Times New Roman" w:cs="Times New Roman"/>
          <w:sz w:val="28"/>
          <w:szCs w:val="28"/>
          <w:highlight w:val="none"/>
        </w:rPr>
      </w:r>
    </w:p>
    <w:p>
      <w:pPr>
        <w:ind w:firstLine="708"/>
        <w:jc w:val="both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highlight w:val="none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/>
        <w:rPr>
          <w:b/>
          <w:bCs/>
        </w:rPr>
      </w:pPr>
      <w:r>
        <w:rPr>
          <w:rFonts w:ascii="Times New Roman" w:hAnsi="Times New Roman" w:eastAsia="Calibri" w:cs="Times New Roman"/>
          <w:b w:val="0"/>
          <w:bCs w:val="0"/>
          <w:sz w:val="28"/>
          <w:szCs w:val="28"/>
        </w:rPr>
        <w:t xml:space="preserve">В отдел теплоснабжения поступили обращени</w:t>
      </w:r>
      <w:r>
        <w:rPr>
          <w:rFonts w:ascii="Times New Roman" w:hAnsi="Times New Roman" w:eastAsia="Calibri" w:cs="Times New Roman"/>
          <w:b w:val="0"/>
          <w:bCs w:val="0"/>
          <w:sz w:val="28"/>
          <w:szCs w:val="28"/>
        </w:rPr>
        <w:t xml:space="preserve">я граждан по вопросам: качества предоставляемых коммунальных услуг, технологическом присоединении к тепловым сетям частных домовладений, о надежности работы систем теплоснабжения, о предоставлении коммунальной услуги горячее водоснабжение в летний период.</w:t>
      </w:r>
      <w:r>
        <w:rPr>
          <w:b/>
          <w:bCs/>
        </w:rPr>
      </w:r>
      <w:r>
        <w:rPr>
          <w:b/>
          <w:bCs/>
        </w:rPr>
      </w:r>
    </w:p>
    <w:p>
      <w:pPr>
        <w:ind w:firstLine="708"/>
        <w:jc w:val="both"/>
        <w:spacing w:after="0"/>
        <w:rPr>
          <w:b/>
          <w:bCs/>
        </w:rPr>
      </w:pP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В целях соблюдения процедур по подключению объектов капитального строительства к системам теплоснабжения органам местного самоуправления, 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руководителям организаций коммунального комплекса даны разъяснения в соответствии с Правилами подключения к системам теплоснабжения, утвержденными постановлением Правительства Российской Федерации от 05.07.2018 № 787.</w:t>
      </w:r>
      <w:r>
        <w:rPr>
          <w:b/>
          <w:bCs/>
        </w:rPr>
      </w:r>
      <w:r>
        <w:rPr>
          <w:b/>
          <w:bCs/>
        </w:rPr>
      </w:r>
    </w:p>
    <w:p>
      <w:pPr>
        <w:ind w:firstLine="708"/>
        <w:jc w:val="both"/>
        <w:spacing w:after="0"/>
        <w:rPr>
          <w:b/>
          <w:bCs/>
        </w:rPr>
      </w:pP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Повышение надежности работы объектов теплоснабжения муниципальных образований НСО, готовность их к отопительному периоду, обеспечивается в рамках подготовки объектов энергетики, коммунального комплекса, жилищного фонда и социально-культурной 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сферы в Новосибирской области к работе в отопительный период, в рамках государственных программ Новосибирской области «Энергосбережение и повышение энергетической эффективности Новосибирской области», «Жилищно-коммунальное хозяйство Новосибирской области».</w:t>
      </w:r>
      <w:r>
        <w:rPr>
          <w:b/>
          <w:bCs/>
        </w:rPr>
      </w:r>
      <w:r>
        <w:rPr>
          <w:b/>
          <w:bCs/>
        </w:rPr>
      </w:r>
    </w:p>
    <w:p>
      <w:pPr>
        <w:ind w:firstLine="708"/>
        <w:jc w:val="both"/>
        <w:spacing w:after="0"/>
        <w:rPr>
          <w:b/>
          <w:bCs/>
        </w:rPr>
      </w:pP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В целях обеспечения устойчивого функционирования и своевременной подготовки объектов энерг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етики, коммунального комплекса, жилищного фонда и социально-культурной сферы в Новосибирской области к работе в отопительный период 2024/2025 годов, обеспечения их устойчивым снабжением топливно-энергетическими ресурсами Правительством Новосибирской област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и разработано и утверждено Постановление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sz w:val="28"/>
          <w:szCs w:val="28"/>
          <w:lang w:eastAsia="ru-RU"/>
        </w:rPr>
        <w:t xml:space="preserve">21.05.2024 № 240-п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«О мероприятиях по подготовке объектов энергетики, коммунального комплекса, жилищного фонда и социально-культурной сферы в Новосибирской области к работе в отопительный период 2024/2025 годов».</w:t>
      </w:r>
      <w:r>
        <w:rPr>
          <w:b/>
          <w:bCs/>
        </w:rPr>
      </w:r>
      <w:r>
        <w:rPr>
          <w:b/>
          <w:bCs/>
        </w:rPr>
      </w:r>
    </w:p>
    <w:p>
      <w:pPr>
        <w:ind w:firstLine="708"/>
        <w:jc w:val="both"/>
        <w:spacing w:after="0"/>
        <w:rPr>
          <w:b/>
          <w:bCs/>
        </w:rPr>
      </w:pP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В Новосибирской области к отопительному периоду 2024/2025 годов подготовлено:</w:t>
      </w:r>
      <w:r>
        <w:rPr>
          <w:b/>
          <w:bCs/>
        </w:rPr>
      </w:r>
      <w:r>
        <w:rPr>
          <w:b/>
          <w:bCs/>
        </w:rPr>
      </w:r>
    </w:p>
    <w:p>
      <w:pPr>
        <w:ind w:firstLine="708"/>
        <w:jc w:val="both"/>
        <w:spacing w:after="0"/>
        <w:rPr>
          <w:b/>
          <w:bCs/>
        </w:rPr>
      </w:pP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15 525 жилых дома;</w:t>
      </w:r>
      <w:r>
        <w:rPr>
          <w:b/>
          <w:bCs/>
        </w:rPr>
      </w:r>
      <w:r>
        <w:rPr>
          <w:b/>
          <w:bCs/>
        </w:rPr>
      </w:r>
    </w:p>
    <w:p>
      <w:pPr>
        <w:ind w:firstLine="708"/>
        <w:jc w:val="both"/>
        <w:spacing w:after="0"/>
        <w:rPr>
          <w:b/>
          <w:bCs/>
        </w:rPr>
      </w:pP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5 ТЭЦ; </w:t>
      </w:r>
      <w:r>
        <w:rPr>
          <w:b/>
          <w:bCs/>
        </w:rPr>
      </w:r>
      <w:r>
        <w:rPr>
          <w:b/>
          <w:bCs/>
        </w:rPr>
      </w:r>
    </w:p>
    <w:p>
      <w:pPr>
        <w:ind w:firstLine="708"/>
        <w:jc w:val="both"/>
        <w:spacing w:after="0"/>
        <w:rPr>
          <w:b/>
          <w:bCs/>
        </w:rPr>
      </w:pP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1 113 котельных; </w:t>
      </w:r>
      <w:r>
        <w:rPr>
          <w:b/>
          <w:bCs/>
        </w:rPr>
      </w:r>
      <w:r>
        <w:rPr>
          <w:b/>
          <w:bCs/>
        </w:rPr>
      </w:r>
    </w:p>
    <w:p>
      <w:pPr>
        <w:ind w:firstLine="708"/>
        <w:jc w:val="both"/>
        <w:spacing w:after="0"/>
        <w:rPr>
          <w:b/>
          <w:bCs/>
        </w:rPr>
      </w:pP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5 422 км тепловых сетей; из них ветхие 3062 км </w:t>
      </w:r>
      <w:r>
        <w:rPr>
          <w:b/>
          <w:bCs/>
        </w:rPr>
      </w:r>
      <w:r>
        <w:rPr>
          <w:b/>
          <w:bCs/>
        </w:rPr>
      </w:r>
    </w:p>
    <w:p>
      <w:pPr>
        <w:ind w:firstLine="708"/>
        <w:jc w:val="both"/>
        <w:spacing w:after="0"/>
        <w:rPr>
          <w:b/>
          <w:bCs/>
        </w:rPr>
      </w:pPr>
      <w:r>
        <w:rPr>
          <w:rFonts w:ascii="Times New Roman" w:hAnsi="Times New Roman" w:cs="Times New Roman"/>
          <w:b w:val="0"/>
          <w:bCs w:val="0"/>
          <w:sz w:val="28"/>
          <w:szCs w:val="28"/>
        </w:rPr>
      </w:r>
      <w:r>
        <w:rPr>
          <w:rFonts w:ascii="Times New Roman" w:hAnsi="Times New Roman" w:cs="Times New Roman"/>
          <w:b w:val="0"/>
          <w:bCs w:val="0"/>
          <w:i w:val="0"/>
          <w:iCs w:val="0"/>
          <w:sz w:val="28"/>
          <w:szCs w:val="28"/>
        </w:rPr>
        <w:t xml:space="preserve">10 651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км водопроводных сетей;</w:t>
      </w:r>
      <w:r>
        <w:rPr>
          <w:b/>
          <w:bCs/>
        </w:rPr>
      </w:r>
      <w:r>
        <w:rPr>
          <w:b/>
          <w:bCs/>
        </w:rPr>
      </w:r>
    </w:p>
    <w:p>
      <w:pPr>
        <w:ind w:firstLine="708"/>
        <w:jc w:val="both"/>
        <w:spacing w:after="0"/>
        <w:rPr>
          <w:b/>
          <w:bCs/>
        </w:rPr>
      </w:pP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2 428 км сетей водоотведения;</w:t>
      </w:r>
      <w:r>
        <w:rPr>
          <w:b/>
          <w:bCs/>
        </w:rPr>
      </w:r>
      <w:r>
        <w:rPr>
          <w:b/>
          <w:bCs/>
        </w:rPr>
      </w:r>
    </w:p>
    <w:p>
      <w:pPr>
        <w:ind w:firstLine="708"/>
        <w:jc w:val="both"/>
        <w:spacing w:after="0"/>
        <w:rPr>
          <w:b/>
          <w:bCs/>
        </w:rPr>
      </w:pP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Капитально отремонтировано:</w:t>
      </w:r>
      <w:r>
        <w:rPr>
          <w:b/>
          <w:bCs/>
        </w:rPr>
      </w:r>
      <w:r>
        <w:rPr>
          <w:b/>
          <w:bCs/>
        </w:rPr>
      </w:r>
    </w:p>
    <w:p>
      <w:pPr>
        <w:ind w:firstLine="708"/>
        <w:jc w:val="both"/>
        <w:spacing w:after="0"/>
        <w:rPr>
          <w:b/>
          <w:bCs/>
        </w:rPr>
      </w:pP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∙ 8,2 млн. кв. м жилищного фонда;</w:t>
      </w:r>
      <w:r>
        <w:rPr>
          <w:b/>
          <w:bCs/>
        </w:rPr>
      </w:r>
      <w:r>
        <w:rPr>
          <w:b/>
          <w:bCs/>
        </w:rPr>
      </w:r>
    </w:p>
    <w:p>
      <w:pPr>
        <w:ind w:firstLine="708"/>
        <w:jc w:val="both"/>
        <w:spacing w:after="0"/>
        <w:rPr>
          <w:b/>
          <w:bCs/>
        </w:rPr>
      </w:pP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∙ 125 отопительных котла;</w:t>
      </w:r>
      <w:r>
        <w:rPr>
          <w:b/>
          <w:bCs/>
        </w:rPr>
      </w:r>
      <w:r>
        <w:rPr>
          <w:b/>
          <w:bCs/>
        </w:rPr>
      </w:r>
    </w:p>
    <w:p>
      <w:pPr>
        <w:ind w:firstLine="708"/>
        <w:jc w:val="both"/>
        <w:spacing w:after="0"/>
        <w:rPr>
          <w:b/>
          <w:bCs/>
        </w:rPr>
      </w:pP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∙ 149,2 км тепловых сетей;</w:t>
      </w:r>
      <w:r>
        <w:rPr>
          <w:b/>
          <w:bCs/>
        </w:rPr>
      </w:r>
      <w:r>
        <w:rPr>
          <w:b/>
          <w:bCs/>
        </w:rPr>
      </w:r>
    </w:p>
    <w:p>
      <w:pPr>
        <w:ind w:firstLine="708"/>
        <w:jc w:val="both"/>
        <w:spacing w:after="0"/>
        <w:rPr>
          <w:b/>
          <w:bCs/>
        </w:rPr>
      </w:pP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∙ 186 км водопроводных сетей.</w:t>
      </w:r>
      <w:r>
        <w:rPr>
          <w:b/>
          <w:bCs/>
        </w:rPr>
      </w:r>
      <w:r>
        <w:rPr>
          <w:b/>
          <w:bCs/>
        </w:rPr>
      </w:r>
    </w:p>
    <w:p>
      <w:pPr>
        <w:ind w:firstLine="708"/>
        <w:jc w:val="both"/>
        <w:spacing w:after="0"/>
        <w:rPr>
          <w:b/>
          <w:bCs/>
        </w:rPr>
      </w:pP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К началу отопительного периода 2024/2025 на источниках тепловой энергии коммунальных предприятий и электростанциях Новосибирской области сформирован нормативный запас топлива.</w:t>
      </w:r>
      <w:r>
        <w:rPr>
          <w:b/>
          <w:bCs/>
        </w:rPr>
      </w:r>
      <w:r>
        <w:rPr>
          <w:b/>
          <w:bCs/>
        </w:rPr>
      </w:r>
    </w:p>
    <w:p>
      <w:pPr>
        <w:ind w:firstLine="708"/>
        <w:jc w:val="both"/>
        <w:spacing w:after="0"/>
        <w:rPr>
          <w:rFonts w:ascii="Times New Roman" w:hAnsi="Times New Roman" w:eastAsia="Calibri" w:cs="Times New Roman"/>
          <w:highlight w:val="none"/>
        </w:rPr>
      </w:pPr>
      <w:r>
        <w:rPr>
          <w:rFonts w:ascii="Times New Roman" w:hAnsi="Times New Roman" w:cs="Times New Roman"/>
          <w:sz w:val="28"/>
          <w:szCs w:val="28"/>
        </w:rPr>
        <w:t xml:space="preserve">Вопросы отсутствия горячего водоснабжения в летний период, своевременности и качеству предоставляемых коммуна</w:t>
      </w:r>
      <w:r>
        <w:rPr>
          <w:rFonts w:ascii="Times New Roman" w:hAnsi="Times New Roman" w:cs="Times New Roman"/>
          <w:sz w:val="28"/>
          <w:szCs w:val="28"/>
        </w:rPr>
        <w:t xml:space="preserve">льных услуг рассмотрены в соответствии действующих «Правил предоставления коммунальных услуг собственникам и пользователям помещений в многоквартирных домах и жилых домов», утвержденных постановлением Правительства Российской Федерации от 06.05.2011 № 354.</w:t>
      </w:r>
      <w:r>
        <w:rPr>
          <w:rFonts w:ascii="Times New Roman" w:hAnsi="Times New Roman" w:eastAsia="Calibri" w:cs="Times New Roman"/>
          <w:highlight w:val="none"/>
        </w:rPr>
      </w:r>
      <w:r>
        <w:rPr>
          <w:rFonts w:ascii="Times New Roman" w:hAnsi="Times New Roman" w:eastAsia="Calibri" w:cs="Times New Roman"/>
          <w:highlight w:val="none"/>
        </w:rPr>
      </w:r>
    </w:p>
    <w:p>
      <w:pPr>
        <w:ind w:firstLine="708"/>
        <w:jc w:val="both"/>
        <w:spacing w:after="0"/>
        <w:rPr>
          <w:rFonts w:ascii="Times New Roman" w:hAnsi="Times New Roman" w:eastAsia="Calibri" w:cs="Times New Roman"/>
        </w:rPr>
      </w:pPr>
      <w:r>
        <w:rPr>
          <w:rFonts w:ascii="Times New Roman" w:hAnsi="Times New Roman" w:eastAsia="Calibri" w:cs="Times New Roman"/>
          <w:highlight w:val="none"/>
        </w:rPr>
      </w:r>
      <w:r>
        <w:rPr>
          <w:rFonts w:ascii="Times New Roman" w:hAnsi="Times New Roman" w:eastAsia="Calibri" w:cs="Times New Roman"/>
        </w:rPr>
      </w:r>
      <w:r>
        <w:rPr>
          <w:rFonts w:ascii="Times New Roman" w:hAnsi="Times New Roman" w:eastAsia="Calibri" w:cs="Times New Roman"/>
        </w:rPr>
      </w:r>
    </w:p>
    <w:p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отдел энергетик</w:t>
      </w:r>
      <w:r>
        <w:rPr>
          <w:rFonts w:ascii="Times New Roman" w:hAnsi="Times New Roman" w:cs="Times New Roman"/>
          <w:sz w:val="28"/>
          <w:szCs w:val="28"/>
        </w:rPr>
        <w:t xml:space="preserve">и поступило в письменном виде 90 обращений</w:t>
      </w:r>
      <w:r>
        <w:rPr>
          <w:rFonts w:ascii="Times New Roman" w:hAnsi="Times New Roman" w:cs="Times New Roman"/>
          <w:sz w:val="28"/>
          <w:szCs w:val="28"/>
        </w:rPr>
        <w:t xml:space="preserve"> граждан </w:t>
      </w:r>
      <w:r>
        <w:rPr>
          <w:rFonts w:ascii="Times New Roman" w:hAnsi="Times New Roman" w:cs="Times New Roman"/>
          <w:sz w:val="28"/>
          <w:szCs w:val="28"/>
        </w:rPr>
        <w:br/>
        <w:t xml:space="preserve">по вопросам отключений электрической энергии, осуществления технологического присо</w:t>
      </w:r>
      <w:r>
        <w:rPr>
          <w:rFonts w:ascii="Times New Roman" w:hAnsi="Times New Roman" w:cs="Times New Roman"/>
          <w:sz w:val="28"/>
          <w:szCs w:val="28"/>
        </w:rPr>
        <w:t xml:space="preserve">единения к электрическим сетям, о заключении прямых договоров с АО «Новосибирскэнергосбыт», неудовлетворительного качества электроснабжения и др. По вопросам надежности электроснабжения в жилых домах по результатам совместной работы с сетевой организацией </w:t>
      </w:r>
      <w:r>
        <w:rPr>
          <w:rFonts w:ascii="Times New Roman" w:hAnsi="Times New Roman" w:cs="Times New Roman"/>
          <w:sz w:val="28"/>
          <w:szCs w:val="28"/>
        </w:rPr>
        <w:br/>
        <w:t xml:space="preserve">АО «Региональные электрические сети» рассмотрены причины возникновения отключений </w:t>
      </w:r>
      <w:r>
        <w:rPr>
          <w:rFonts w:ascii="Times New Roman" w:hAnsi="Times New Roman" w:cs="Times New Roman"/>
          <w:sz w:val="28"/>
          <w:szCs w:val="28"/>
        </w:rPr>
        <w:t xml:space="preserve">электрической энергии. В большинстве случаев отключения являются плановыми. Плановые отключения проводились, как правило, с целью проведения работ по вырубке просеки, подключения новых потребителей, проведения ремонтных работ. Аварийные отключения вызваны </w:t>
      </w:r>
      <w:r>
        <w:rPr>
          <w:rFonts w:ascii="Times New Roman" w:hAnsi="Times New Roman" w:cs="Times New Roman"/>
          <w:sz w:val="28"/>
          <w:szCs w:val="28"/>
        </w:rPr>
        <w:t xml:space="preserve">срабатыванием аппаратуры и внешними воздействиями, а также плохими погодными условиями. Время отсутствия электроснабжения при плановых отключениях не превышало нормативно допустимого. Данная информация доведена до сведения заявителей. По вопросам заключени</w:t>
      </w:r>
      <w:r>
        <w:rPr>
          <w:rFonts w:ascii="Times New Roman" w:hAnsi="Times New Roman" w:cs="Times New Roman"/>
          <w:sz w:val="28"/>
          <w:szCs w:val="28"/>
        </w:rPr>
        <w:t xml:space="preserve">я прямых договоров с АО «Новосибирскэнергосбыт» заявителям был направлен перечень документов для заключения договора энергоснабжения с гарантирующим поставщиком АО «Новосибирскэнергосбыт». Вопросы неудовлетворительного качества электроснабжения, связанных </w:t>
      </w:r>
      <w:r>
        <w:rPr>
          <w:rFonts w:ascii="Times New Roman" w:hAnsi="Times New Roman" w:cs="Times New Roman"/>
          <w:sz w:val="28"/>
          <w:szCs w:val="28"/>
        </w:rPr>
        <w:br/>
        <w:t xml:space="preserve">с отклонением напряжения от нормативного, были решены сетевыми компаниями посредством установки контрольных выносных приборов учета электрической энергии на опоры электрической сети</w:t>
      </w:r>
      <w:r>
        <w:rPr>
          <w:rFonts w:ascii="Times New Roman" w:hAnsi="Times New Roman" w:cs="Times New Roman"/>
          <w:sz w:val="28"/>
          <w:szCs w:val="28"/>
        </w:rPr>
        <w:t xml:space="preserve"> 0,4 кВ, выполнения суточного мониторинга уровня напряжения. По вопросам осуществления технологического присоединения к электрическим сетям заявителям был разъяснен порядок заключения договора на технологическое присоединение с электросетевой организацией.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76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теме газификации (газоснабжения) наиболее частыми вопросами в обращениях граждан были: 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76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 сроки газификации населенных пунктов, с включением их в подпрограмму «Газификация» государственной программы;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76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</w:t>
      </w:r>
      <w:r>
        <w:rPr>
          <w:rFonts w:ascii="Times New Roman" w:hAnsi="Times New Roman" w:cs="Times New Roman"/>
          <w:sz w:val="28"/>
          <w:szCs w:val="28"/>
        </w:rPr>
        <w:t xml:space="preserve"> реализации Послания Президента Российской Федерации к Федеральному Собранию Российской Федерации, а также перечня поручений Президента Российской Федерации от 31.05.2020 № Пр-907 (подключение к газораспределительным сетям без привлечения средств граждан);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76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догазификация;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76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 порядок платы за технологическое присоединение газоиспользующего оборудования к газораспределительным </w:t>
      </w:r>
      <w:r>
        <w:rPr>
          <w:rFonts w:ascii="Times New Roman" w:hAnsi="Times New Roman" w:cs="Times New Roman"/>
          <w:sz w:val="28"/>
          <w:szCs w:val="28"/>
        </w:rPr>
        <w:t xml:space="preserve">сетям и (или) стандартизированным тарифным ставкам, определяющим их величину (стоимость подключения к газовым сетям). Но в соответствии с пунктом 13.1. постановления Правительства Новосибирской области от 25.02.2013 № 74-п «О департаменте по тарифам Новоси</w:t>
      </w:r>
      <w:r>
        <w:rPr>
          <w:rFonts w:ascii="Times New Roman" w:hAnsi="Times New Roman" w:cs="Times New Roman"/>
          <w:sz w:val="28"/>
          <w:szCs w:val="28"/>
        </w:rPr>
        <w:t xml:space="preserve">бирской области»: в установленной сфере деятельности департамент устанавливает размер платы за технологическое присоединение газоиспользующего оборудования к газораспределительным сетям и (или) стандартизированные тарифные ставки, определяющие ее величину;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76" w:lineRule="auto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порядок подключения (технологическое присоединение) объектов капитального строительства к газораспределительным сетям. В соответствии с п</w:t>
      </w:r>
      <w:r>
        <w:rPr>
          <w:rFonts w:ascii="Times New Roman" w:hAnsi="Times New Roman" w:cs="Times New Roman"/>
          <w:bCs/>
          <w:sz w:val="28"/>
          <w:szCs w:val="28"/>
        </w:rPr>
        <w:t xml:space="preserve">остановлением Правительства Российской Федерации от 30.12.2013 № 1314 заявителям были даны разъяснения по указанному вопросу;</w:t>
      </w:r>
      <w:r>
        <w:rPr>
          <w:rFonts w:ascii="Times New Roman" w:hAnsi="Times New Roman" w:cs="Times New Roman"/>
          <w:bCs/>
          <w:sz w:val="28"/>
          <w:szCs w:val="28"/>
        </w:rPr>
      </w:r>
      <w:r>
        <w:rPr>
          <w:rFonts w:ascii="Times New Roman" w:hAnsi="Times New Roman" w:cs="Times New Roman"/>
          <w:bCs/>
          <w:sz w:val="28"/>
          <w:szCs w:val="28"/>
        </w:rPr>
      </w:r>
    </w:p>
    <w:p>
      <w:pPr>
        <w:ind w:firstLine="709"/>
        <w:jc w:val="both"/>
        <w:spacing w:after="0" w:line="276" w:lineRule="auto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- оказание содействия населению Новосибирской области при газификации домовладений. Заявителям даны разъяснения о предоставл</w:t>
      </w:r>
      <w:r>
        <w:rPr>
          <w:rFonts w:ascii="Times New Roman" w:hAnsi="Times New Roman" w:cs="Times New Roman"/>
          <w:bCs/>
          <w:sz w:val="28"/>
          <w:szCs w:val="28"/>
        </w:rPr>
        <w:t xml:space="preserve">ении субсидий на компенсацию части процентной ставки по кредитам в соответствии с постановлением администрации Новосибирской области от 28.08.2006 № 66-па «О государственной поддержке граждан при кредитовании на газификацию жилья в Новосибирской области». </w:t>
      </w:r>
      <w:r>
        <w:rPr>
          <w:rFonts w:ascii="Times New Roman" w:hAnsi="Times New Roman" w:cs="Times New Roman"/>
          <w:bCs/>
          <w:sz w:val="28"/>
          <w:szCs w:val="28"/>
        </w:rPr>
      </w:r>
      <w:r>
        <w:rPr>
          <w:rFonts w:ascii="Times New Roman" w:hAnsi="Times New Roman" w:cs="Times New Roman"/>
          <w:bCs/>
          <w:sz w:val="28"/>
          <w:szCs w:val="28"/>
        </w:rPr>
      </w:r>
    </w:p>
    <w:p>
      <w:pPr>
        <w:ind w:firstLine="0"/>
        <w:jc w:val="both"/>
        <w:spacing w:after="0" w:line="276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highlight w:val="none"/>
        </w:rPr>
      </w:r>
      <w:r>
        <w:rPr>
          <w:rFonts w:ascii="Times New Roman" w:hAnsi="Times New Roman" w:cs="Times New Roman"/>
          <w:sz w:val="28"/>
          <w:szCs w:val="28"/>
          <w:highlight w:val="none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76" w:lineRule="auto"/>
        <w:rPr>
          <w:rFonts w:ascii="Times New Roman" w:hAnsi="Times New Roman" w:cs="Times New Roman"/>
          <w:sz w:val="28"/>
          <w:szCs w:val="28"/>
          <w:highlight w:val="none"/>
        </w:rPr>
      </w:pPr>
      <w:r>
        <w:rPr>
          <w:rFonts w:ascii="Times New Roman" w:hAnsi="Times New Roman" w:cs="Times New Roman"/>
          <w:sz w:val="28"/>
          <w:szCs w:val="28"/>
        </w:rPr>
        <w:t xml:space="preserve">По направлению водоснабжения и водоотведения обращения граждан, поступившие </w:t>
      </w:r>
      <w:r>
        <w:rPr>
          <w:rFonts w:ascii="Times New Roman" w:hAnsi="Times New Roman" w:cs="Times New Roman"/>
          <w:sz w:val="28"/>
          <w:szCs w:val="28"/>
        </w:rPr>
        <w:t xml:space="preserve">в министерство в 3 квартале 2024</w:t>
      </w:r>
      <w:r>
        <w:rPr>
          <w:rFonts w:ascii="Times New Roman" w:hAnsi="Times New Roman" w:cs="Times New Roman"/>
          <w:sz w:val="28"/>
          <w:szCs w:val="28"/>
        </w:rPr>
        <w:t xml:space="preserve"> года, содержали вопросы о качестве</w:t>
      </w:r>
      <w:r>
        <w:rPr>
          <w:rFonts w:ascii="Times New Roman" w:hAnsi="Times New Roman" w:cs="Times New Roman"/>
          <w:sz w:val="28"/>
          <w:szCs w:val="28"/>
        </w:rPr>
        <w:t xml:space="preserve"> питьевой воды в муниципальных образованиях Новосибирской области, порядке подключения объектов капитального строительства к централизованной системе водоснабжения, о размере платы за подключение, об аварийном состоянии сетей водоснабжения и водоотведения.</w:t>
      </w:r>
      <w:r>
        <w:rPr>
          <w:rFonts w:ascii="Times New Roman" w:hAnsi="Times New Roman" w:cs="Times New Roman"/>
          <w:sz w:val="28"/>
          <w:szCs w:val="28"/>
          <w:highlight w:val="none"/>
        </w:rPr>
      </w:r>
      <w:r>
        <w:rPr>
          <w:rFonts w:ascii="Times New Roman" w:hAnsi="Times New Roman" w:cs="Times New Roman"/>
          <w:sz w:val="28"/>
          <w:szCs w:val="28"/>
          <w:highlight w:val="none"/>
        </w:rPr>
      </w:r>
    </w:p>
    <w:p>
      <w:pPr>
        <w:ind w:firstLine="709"/>
        <w:jc w:val="both"/>
        <w:spacing w:after="0" w:line="276" w:lineRule="auto"/>
        <w:tabs>
          <w:tab w:val="left" w:pos="787" w:leader="none"/>
        </w:tabs>
        <w:rPr>
          <w:rFonts w:ascii="Times New Roman" w:hAnsi="Times New Roman" w:eastAsia="Calibri" w:cs="Times New Roman"/>
          <w:sz w:val="28"/>
          <w:szCs w:val="28"/>
        </w:rPr>
      </w:pPr>
      <w:r>
        <w:rPr>
          <w:rFonts w:ascii="Times New Roman" w:hAnsi="Times New Roman" w:eastAsia="Calibri" w:cs="Times New Roman"/>
          <w:sz w:val="28"/>
          <w:szCs w:val="28"/>
        </w:rPr>
        <w:t xml:space="preserve">В соответствии с Указом Президента Российской Федерации В.В. Путина от 07.05.2018 № 204 «О национальных целях и стратегических задачах развития Российской Федерации на период до 2024 года» к 2024 году необходимо достичь </w:t>
      </w:r>
      <w:r>
        <w:rPr>
          <w:rFonts w:ascii="Times New Roman" w:hAnsi="Times New Roman" w:cs="Times New Roman"/>
          <w:sz w:val="28"/>
          <w:szCs w:val="28"/>
        </w:rPr>
        <w:t xml:space="preserve">повышение качества питьевой воды для населения, в том числе для жителей населенных пунктов, не оборудованных современными системами централизованного водоснабжения.</w:t>
      </w:r>
      <w:r>
        <w:rPr>
          <w:rFonts w:ascii="Times New Roman" w:hAnsi="Times New Roman" w:eastAsia="Calibri" w:cs="Times New Roman"/>
          <w:sz w:val="28"/>
          <w:szCs w:val="28"/>
        </w:rPr>
        <w:t xml:space="preserve"> </w:t>
      </w:r>
      <w:r>
        <w:rPr>
          <w:rFonts w:ascii="Times New Roman" w:hAnsi="Times New Roman" w:eastAsia="Calibri" w:cs="Times New Roman"/>
          <w:sz w:val="28"/>
          <w:szCs w:val="28"/>
        </w:rPr>
      </w:r>
      <w:r>
        <w:rPr>
          <w:rFonts w:ascii="Times New Roman" w:hAnsi="Times New Roman" w:eastAsia="Calibri" w:cs="Times New Roman"/>
          <w:sz w:val="28"/>
          <w:szCs w:val="28"/>
        </w:rPr>
      </w:r>
    </w:p>
    <w:p>
      <w:pPr>
        <w:ind w:firstLine="709"/>
        <w:jc w:val="both"/>
        <w:spacing w:after="0" w:line="276" w:lineRule="auto"/>
        <w:tabs>
          <w:tab w:val="left" w:pos="787" w:leader="none"/>
        </w:tabs>
        <w:rPr>
          <w:rFonts w:ascii="Times New Roman" w:hAnsi="Times New Roman" w:cs="Times New Roman"/>
          <w:sz w:val="28"/>
          <w:szCs w:val="28"/>
          <w:highlight w:val="none"/>
        </w:rPr>
      </w:pPr>
      <w:r>
        <w:rPr>
          <w:rFonts w:ascii="Times New Roman" w:hAnsi="Times New Roman" w:eastAsia="Calibri" w:cs="Times New Roman"/>
          <w:sz w:val="28"/>
          <w:szCs w:val="28"/>
          <w:highlight w:val="none"/>
        </w:rPr>
        <w:t xml:space="preserve">Паспортом регионального проекта «Чистая вода» предусмотрено достижение </w:t>
      </w:r>
      <w:r>
        <w:rPr>
          <w:rFonts w:ascii="Times New Roman" w:hAnsi="Times New Roman" w:cs="Times New Roman"/>
          <w:sz w:val="28"/>
          <w:szCs w:val="28"/>
          <w:highlight w:val="none"/>
        </w:rPr>
        <w:t xml:space="preserve">доли населения Новосибирской области обеспеченного </w:t>
      </w:r>
      <w:r>
        <w:rPr>
          <w:rFonts w:ascii="Times New Roman" w:hAnsi="Times New Roman" w:eastAsia="Calibri" w:cs="Times New Roman"/>
          <w:sz w:val="28"/>
          <w:szCs w:val="28"/>
        </w:rPr>
        <w:t xml:space="preserve">качественной </w:t>
      </w:r>
      <w:r>
        <w:rPr>
          <w:rFonts w:ascii="Times New Roman" w:hAnsi="Times New Roman" w:cs="Times New Roman"/>
          <w:sz w:val="28"/>
          <w:szCs w:val="28"/>
          <w:highlight w:val="none"/>
        </w:rPr>
        <w:t xml:space="preserve">пить</w:t>
      </w:r>
      <w:r>
        <w:rPr>
          <w:rFonts w:ascii="Times New Roman" w:hAnsi="Times New Roman" w:cs="Times New Roman"/>
          <w:sz w:val="28"/>
          <w:szCs w:val="28"/>
          <w:highlight w:val="none"/>
        </w:rPr>
        <w:t xml:space="preserve">евой водой из систем централизованного водоснабжения, не менее чем до </w:t>
      </w:r>
      <w:r>
        <w:rPr>
          <w:rFonts w:ascii="Times New Roman" w:hAnsi="Times New Roman" w:eastAsia="Times New Roman" w:cs="Times New Roman"/>
          <w:sz w:val="28"/>
          <w:szCs w:val="28"/>
          <w:highlight w:val="none"/>
        </w:rPr>
        <w:t xml:space="preserve">90,72</w:t>
      </w:r>
      <w:r>
        <w:rPr>
          <w:rFonts w:ascii="Times New Roman" w:hAnsi="Times New Roman" w:cs="Times New Roman"/>
          <w:sz w:val="28"/>
          <w:szCs w:val="28"/>
          <w:highlight w:val="none"/>
        </w:rPr>
        <w:t xml:space="preserve">% к 2024 году, доли городского населения Новосибирской области, обеспеченного качественной питьевой водой из систем централизованного водоснабжения, не менее чем до </w:t>
      </w:r>
      <w:r>
        <w:rPr>
          <w:rFonts w:ascii="Times New Roman" w:hAnsi="Times New Roman" w:eastAsia="Times New Roman" w:cs="Times New Roman"/>
          <w:sz w:val="28"/>
          <w:szCs w:val="28"/>
          <w:highlight w:val="none"/>
        </w:rPr>
        <w:t xml:space="preserve">96,32</w:t>
      </w:r>
      <w:r>
        <w:rPr>
          <w:rFonts w:ascii="Times New Roman" w:hAnsi="Times New Roman" w:cs="Times New Roman"/>
          <w:sz w:val="28"/>
          <w:szCs w:val="28"/>
          <w:highlight w:val="none"/>
        </w:rPr>
        <w:t xml:space="preserve">% к 2024 году.</w:t>
      </w:r>
      <w:r>
        <w:rPr>
          <w:rFonts w:ascii="Times New Roman" w:hAnsi="Times New Roman" w:cs="Times New Roman"/>
          <w:sz w:val="28"/>
          <w:szCs w:val="28"/>
          <w:highlight w:val="none"/>
        </w:rPr>
      </w:r>
      <w:r>
        <w:rPr>
          <w:rFonts w:ascii="Times New Roman" w:hAnsi="Times New Roman" w:cs="Times New Roman"/>
          <w:sz w:val="28"/>
          <w:szCs w:val="28"/>
          <w:highlight w:val="none"/>
        </w:rPr>
      </w:r>
    </w:p>
    <w:p>
      <w:pPr>
        <w:ind w:firstLine="709"/>
        <w:jc w:val="both"/>
        <w:spacing w:after="0" w:line="276" w:lineRule="auto"/>
        <w:tabs>
          <w:tab w:val="left" w:pos="787" w:leader="none"/>
        </w:tabs>
        <w:rPr>
          <w:rFonts w:ascii="Times New Roman" w:hAnsi="Times New Roman" w:cs="Times New Roman"/>
          <w:sz w:val="28"/>
          <w:szCs w:val="28"/>
          <w:highlight w:val="none"/>
        </w:rPr>
      </w:pPr>
      <w:r>
        <w:rPr>
          <w:rFonts w:ascii="Times New Roman" w:hAnsi="Times New Roman" w:cs="Times New Roman"/>
          <w:sz w:val="28"/>
          <w:szCs w:val="28"/>
          <w:highlight w:val="none"/>
        </w:rPr>
        <w:t xml:space="preserve">В настоящее время, по данным Государственного доклада Управления Роспотребнадзора по Новосибирской области «О состоянии санитарно-эпидемиологического благополучия населени</w:t>
      </w:r>
      <w:r>
        <w:rPr>
          <w:rFonts w:ascii="Times New Roman" w:hAnsi="Times New Roman" w:cs="Times New Roman"/>
          <w:sz w:val="28"/>
          <w:szCs w:val="28"/>
          <w:highlight w:val="none"/>
        </w:rPr>
        <w:t xml:space="preserve">я в Новосибирской области в 2023 году» доля населения,</w:t>
      </w:r>
      <w:r>
        <w:rPr>
          <w:rFonts w:ascii="Times New Roman" w:hAnsi="Times New Roman" w:eastAsia="Calibri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  <w:highlight w:val="none"/>
        </w:rPr>
        <w:t xml:space="preserve"> обеспеченного качественной питьевой водой, соответствующей гигиеническим нормативам в 2023 году увеличилась на 2,1% к уровню 2021 года, и составила 89,3%. Ежегодно наблюдается положительная динамика.</w:t>
      </w:r>
      <w:r>
        <w:rPr>
          <w:rFonts w:ascii="Times New Roman" w:hAnsi="Times New Roman" w:cs="Times New Roman"/>
          <w:sz w:val="28"/>
          <w:szCs w:val="28"/>
          <w:highlight w:val="none"/>
        </w:rPr>
      </w:r>
      <w:r>
        <w:rPr>
          <w:rFonts w:ascii="Times New Roman" w:hAnsi="Times New Roman" w:cs="Times New Roman"/>
          <w:sz w:val="28"/>
          <w:szCs w:val="28"/>
          <w:highlight w:val="none"/>
        </w:rPr>
      </w:r>
    </w:p>
    <w:p>
      <w:pPr>
        <w:jc w:val="both"/>
        <w:spacing w:after="0" w:line="240" w:lineRule="auto"/>
        <w:rPr>
          <w:rFonts w:ascii="Times New Roman" w:hAnsi="Times New Roman" w:cs="Times New Roman"/>
          <w:sz w:val="28"/>
          <w:szCs w:val="28"/>
          <w:highlight w:val="white"/>
        </w:rPr>
      </w:pPr>
      <w:r>
        <w:rPr>
          <w:rFonts w:ascii="Times New Roman" w:hAnsi="Times New Roman" w:cs="Times New Roman"/>
          <w:sz w:val="28"/>
          <w:szCs w:val="28"/>
          <w:highlight w:val="white"/>
        </w:rPr>
      </w:r>
      <w:r>
        <w:rPr>
          <w:rFonts w:ascii="Times New Roman" w:hAnsi="Times New Roman" w:cs="Times New Roman"/>
          <w:sz w:val="28"/>
          <w:szCs w:val="28"/>
          <w:highlight w:val="white"/>
        </w:rPr>
      </w:r>
      <w:r>
        <w:rPr>
          <w:rFonts w:ascii="Times New Roman" w:hAnsi="Times New Roman" w:cs="Times New Roman"/>
          <w:sz w:val="28"/>
          <w:szCs w:val="28"/>
          <w:highlight w:val="white"/>
        </w:rPr>
      </w:r>
    </w:p>
    <w:p>
      <w:pPr>
        <w:ind w:firstLine="708"/>
        <w:jc w:val="both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Управлением жилищной политики и развития жилищно-коммунального хозяйства были рассмотрены и разъяснены следующие вопросы, содержащиеся в обращениях граждан: 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both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- переселение граждан из аварийного жилищного фонда, расположенного на территории Академгородка и прочего аварийного жилищного фонда;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both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- порядок признания многоквартирных домов аварийными и подлежащими сносу;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both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- включение домов в федеральную и областную программы переселения;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both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- внесение данных по аварийным многоквартирным домам в АИС «Реформа ЖКХ»;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both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- о переносе срока капитального ремонта многоквартирных домов;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both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- о качестве капитального ремонта многоквартирных домов;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both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- о качестве оказания УК услуг по содержанию общего имущества многоквартирных домов и т.д.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line="276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Все обращения, поступившие непосредственн</w:t>
      </w:r>
      <w:r>
        <w:rPr>
          <w:rFonts w:ascii="Times New Roman" w:hAnsi="Times New Roman" w:cs="Times New Roman"/>
          <w:sz w:val="28"/>
          <w:szCs w:val="28"/>
        </w:rPr>
        <w:t xml:space="preserve">о в министерство, были рассмотрены руководителем министерства и направлены исполнителям для подготовки ответов заявителям. По существу, всех поставленных в обращениях вопросов, гражданам были даны ответы в установленный действующим законодательством срок. 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sectPr>
      <w:footnotePr/>
      <w:endnotePr/>
      <w:type w:val="nextPage"/>
      <w:pgSz w:w="11906" w:h="16838" w:orient="portrait"/>
      <w:pgMar w:top="568" w:right="850" w:bottom="426" w:left="1276" w:header="708" w:footer="708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</w:font>
  <w:font w:name="Times New Roman">
    <w:panose1 w:val="02020603050405020304"/>
  </w:font>
  <w:font w:name="Segoe UI">
    <w:panose1 w:val="020B0502040204020203"/>
  </w:font>
  <w:font w:name="Arial">
    <w:panose1 w:val="020B060402020202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160" w:afterAutospacing="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character" w:styleId="654">
    <w:name w:val="Heading 1 Char"/>
    <w:basedOn w:val="681"/>
    <w:link w:val="672"/>
    <w:uiPriority w:val="9"/>
    <w:rPr>
      <w:rFonts w:ascii="Arial" w:hAnsi="Arial" w:eastAsia="Arial" w:cs="Arial"/>
      <w:sz w:val="40"/>
      <w:szCs w:val="40"/>
    </w:rPr>
  </w:style>
  <w:style w:type="character" w:styleId="655">
    <w:name w:val="Heading 2 Char"/>
    <w:basedOn w:val="681"/>
    <w:link w:val="673"/>
    <w:uiPriority w:val="9"/>
    <w:rPr>
      <w:rFonts w:ascii="Arial" w:hAnsi="Arial" w:eastAsia="Arial" w:cs="Arial"/>
      <w:sz w:val="34"/>
    </w:rPr>
  </w:style>
  <w:style w:type="character" w:styleId="656">
    <w:name w:val="Heading 3 Char"/>
    <w:basedOn w:val="681"/>
    <w:link w:val="674"/>
    <w:uiPriority w:val="9"/>
    <w:rPr>
      <w:rFonts w:ascii="Arial" w:hAnsi="Arial" w:eastAsia="Arial" w:cs="Arial"/>
      <w:sz w:val="30"/>
      <w:szCs w:val="30"/>
    </w:rPr>
  </w:style>
  <w:style w:type="character" w:styleId="657">
    <w:name w:val="Heading 4 Char"/>
    <w:basedOn w:val="681"/>
    <w:link w:val="675"/>
    <w:uiPriority w:val="9"/>
    <w:rPr>
      <w:rFonts w:ascii="Arial" w:hAnsi="Arial" w:eastAsia="Arial" w:cs="Arial"/>
      <w:b/>
      <w:bCs/>
      <w:sz w:val="26"/>
      <w:szCs w:val="26"/>
    </w:rPr>
  </w:style>
  <w:style w:type="character" w:styleId="658">
    <w:name w:val="Heading 5 Char"/>
    <w:basedOn w:val="681"/>
    <w:link w:val="676"/>
    <w:uiPriority w:val="9"/>
    <w:rPr>
      <w:rFonts w:ascii="Arial" w:hAnsi="Arial" w:eastAsia="Arial" w:cs="Arial"/>
      <w:b/>
      <w:bCs/>
      <w:sz w:val="24"/>
      <w:szCs w:val="24"/>
    </w:rPr>
  </w:style>
  <w:style w:type="character" w:styleId="659">
    <w:name w:val="Heading 6 Char"/>
    <w:basedOn w:val="681"/>
    <w:link w:val="677"/>
    <w:uiPriority w:val="9"/>
    <w:rPr>
      <w:rFonts w:ascii="Arial" w:hAnsi="Arial" w:eastAsia="Arial" w:cs="Arial"/>
      <w:b/>
      <w:bCs/>
      <w:sz w:val="22"/>
      <w:szCs w:val="22"/>
    </w:rPr>
  </w:style>
  <w:style w:type="character" w:styleId="660">
    <w:name w:val="Heading 7 Char"/>
    <w:basedOn w:val="681"/>
    <w:link w:val="678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character" w:styleId="661">
    <w:name w:val="Heading 8 Char"/>
    <w:basedOn w:val="681"/>
    <w:link w:val="679"/>
    <w:uiPriority w:val="9"/>
    <w:rPr>
      <w:rFonts w:ascii="Arial" w:hAnsi="Arial" w:eastAsia="Arial" w:cs="Arial"/>
      <w:i/>
      <w:iCs/>
      <w:sz w:val="22"/>
      <w:szCs w:val="22"/>
    </w:rPr>
  </w:style>
  <w:style w:type="character" w:styleId="662">
    <w:name w:val="Heading 9 Char"/>
    <w:basedOn w:val="681"/>
    <w:link w:val="680"/>
    <w:uiPriority w:val="9"/>
    <w:rPr>
      <w:rFonts w:ascii="Arial" w:hAnsi="Arial" w:eastAsia="Arial" w:cs="Arial"/>
      <w:i/>
      <w:iCs/>
      <w:sz w:val="21"/>
      <w:szCs w:val="21"/>
    </w:rPr>
  </w:style>
  <w:style w:type="character" w:styleId="663">
    <w:name w:val="Title Char"/>
    <w:basedOn w:val="681"/>
    <w:link w:val="695"/>
    <w:uiPriority w:val="10"/>
    <w:rPr>
      <w:sz w:val="48"/>
      <w:szCs w:val="48"/>
    </w:rPr>
  </w:style>
  <w:style w:type="character" w:styleId="664">
    <w:name w:val="Subtitle Char"/>
    <w:basedOn w:val="681"/>
    <w:link w:val="697"/>
    <w:uiPriority w:val="11"/>
    <w:rPr>
      <w:sz w:val="24"/>
      <w:szCs w:val="24"/>
    </w:rPr>
  </w:style>
  <w:style w:type="character" w:styleId="665">
    <w:name w:val="Quote Char"/>
    <w:link w:val="699"/>
    <w:uiPriority w:val="29"/>
    <w:rPr>
      <w:i/>
    </w:rPr>
  </w:style>
  <w:style w:type="character" w:styleId="666">
    <w:name w:val="Intense Quote Char"/>
    <w:link w:val="701"/>
    <w:uiPriority w:val="30"/>
    <w:rPr>
      <w:i/>
    </w:rPr>
  </w:style>
  <w:style w:type="character" w:styleId="667">
    <w:name w:val="Header Char"/>
    <w:basedOn w:val="681"/>
    <w:link w:val="703"/>
    <w:uiPriority w:val="99"/>
  </w:style>
  <w:style w:type="character" w:styleId="668">
    <w:name w:val="Caption Char"/>
    <w:basedOn w:val="707"/>
    <w:link w:val="705"/>
    <w:uiPriority w:val="99"/>
  </w:style>
  <w:style w:type="character" w:styleId="669">
    <w:name w:val="Footnote Text Char"/>
    <w:link w:val="836"/>
    <w:uiPriority w:val="99"/>
    <w:rPr>
      <w:sz w:val="18"/>
    </w:rPr>
  </w:style>
  <w:style w:type="character" w:styleId="670">
    <w:name w:val="Endnote Text Char"/>
    <w:link w:val="839"/>
    <w:uiPriority w:val="99"/>
    <w:rPr>
      <w:sz w:val="20"/>
    </w:rPr>
  </w:style>
  <w:style w:type="paragraph" w:styleId="671" w:default="1">
    <w:name w:val="Normal"/>
    <w:qFormat/>
  </w:style>
  <w:style w:type="paragraph" w:styleId="672">
    <w:name w:val="Heading 1"/>
    <w:basedOn w:val="671"/>
    <w:next w:val="671"/>
    <w:link w:val="684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paragraph" w:styleId="673">
    <w:name w:val="Heading 2"/>
    <w:basedOn w:val="671"/>
    <w:next w:val="671"/>
    <w:link w:val="685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paragraph" w:styleId="674">
    <w:name w:val="Heading 3"/>
    <w:basedOn w:val="671"/>
    <w:next w:val="671"/>
    <w:link w:val="686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paragraph" w:styleId="675">
    <w:name w:val="Heading 4"/>
    <w:basedOn w:val="671"/>
    <w:next w:val="671"/>
    <w:link w:val="687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paragraph" w:styleId="676">
    <w:name w:val="Heading 5"/>
    <w:basedOn w:val="671"/>
    <w:next w:val="671"/>
    <w:link w:val="688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paragraph" w:styleId="677">
    <w:name w:val="Heading 6"/>
    <w:basedOn w:val="671"/>
    <w:next w:val="671"/>
    <w:link w:val="689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</w:rPr>
  </w:style>
  <w:style w:type="paragraph" w:styleId="678">
    <w:name w:val="Heading 7"/>
    <w:basedOn w:val="671"/>
    <w:next w:val="671"/>
    <w:link w:val="690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</w:rPr>
  </w:style>
  <w:style w:type="paragraph" w:styleId="679">
    <w:name w:val="Heading 8"/>
    <w:basedOn w:val="671"/>
    <w:next w:val="671"/>
    <w:link w:val="691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</w:rPr>
  </w:style>
  <w:style w:type="paragraph" w:styleId="680">
    <w:name w:val="Heading 9"/>
    <w:basedOn w:val="671"/>
    <w:next w:val="671"/>
    <w:link w:val="692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81" w:default="1">
    <w:name w:val="Default Paragraph Font"/>
    <w:uiPriority w:val="1"/>
    <w:semiHidden/>
    <w:unhideWhenUsed/>
  </w:style>
  <w:style w:type="table" w:styleId="682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683" w:default="1">
    <w:name w:val="No List"/>
    <w:uiPriority w:val="99"/>
    <w:semiHidden/>
    <w:unhideWhenUsed/>
  </w:style>
  <w:style w:type="character" w:styleId="684" w:customStyle="1">
    <w:name w:val="Заголовок 1 Знак"/>
    <w:basedOn w:val="681"/>
    <w:link w:val="672"/>
    <w:uiPriority w:val="9"/>
    <w:rPr>
      <w:rFonts w:ascii="Arial" w:hAnsi="Arial" w:eastAsia="Arial" w:cs="Arial"/>
      <w:sz w:val="40"/>
      <w:szCs w:val="40"/>
    </w:rPr>
  </w:style>
  <w:style w:type="character" w:styleId="685" w:customStyle="1">
    <w:name w:val="Заголовок 2 Знак"/>
    <w:basedOn w:val="681"/>
    <w:link w:val="673"/>
    <w:uiPriority w:val="9"/>
    <w:rPr>
      <w:rFonts w:ascii="Arial" w:hAnsi="Arial" w:eastAsia="Arial" w:cs="Arial"/>
      <w:sz w:val="34"/>
    </w:rPr>
  </w:style>
  <w:style w:type="character" w:styleId="686" w:customStyle="1">
    <w:name w:val="Заголовок 3 Знак"/>
    <w:basedOn w:val="681"/>
    <w:link w:val="674"/>
    <w:uiPriority w:val="9"/>
    <w:rPr>
      <w:rFonts w:ascii="Arial" w:hAnsi="Arial" w:eastAsia="Arial" w:cs="Arial"/>
      <w:sz w:val="30"/>
      <w:szCs w:val="30"/>
    </w:rPr>
  </w:style>
  <w:style w:type="character" w:styleId="687" w:customStyle="1">
    <w:name w:val="Заголовок 4 Знак"/>
    <w:basedOn w:val="681"/>
    <w:link w:val="675"/>
    <w:uiPriority w:val="9"/>
    <w:rPr>
      <w:rFonts w:ascii="Arial" w:hAnsi="Arial" w:eastAsia="Arial" w:cs="Arial"/>
      <w:b/>
      <w:bCs/>
      <w:sz w:val="26"/>
      <w:szCs w:val="26"/>
    </w:rPr>
  </w:style>
  <w:style w:type="character" w:styleId="688" w:customStyle="1">
    <w:name w:val="Заголовок 5 Знак"/>
    <w:basedOn w:val="681"/>
    <w:link w:val="676"/>
    <w:uiPriority w:val="9"/>
    <w:rPr>
      <w:rFonts w:ascii="Arial" w:hAnsi="Arial" w:eastAsia="Arial" w:cs="Arial"/>
      <w:b/>
      <w:bCs/>
      <w:sz w:val="24"/>
      <w:szCs w:val="24"/>
    </w:rPr>
  </w:style>
  <w:style w:type="character" w:styleId="689" w:customStyle="1">
    <w:name w:val="Заголовок 6 Знак"/>
    <w:basedOn w:val="681"/>
    <w:link w:val="677"/>
    <w:uiPriority w:val="9"/>
    <w:rPr>
      <w:rFonts w:ascii="Arial" w:hAnsi="Arial" w:eastAsia="Arial" w:cs="Arial"/>
      <w:b/>
      <w:bCs/>
      <w:sz w:val="22"/>
      <w:szCs w:val="22"/>
    </w:rPr>
  </w:style>
  <w:style w:type="character" w:styleId="690" w:customStyle="1">
    <w:name w:val="Заголовок 7 Знак"/>
    <w:basedOn w:val="681"/>
    <w:link w:val="678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character" w:styleId="691" w:customStyle="1">
    <w:name w:val="Заголовок 8 Знак"/>
    <w:basedOn w:val="681"/>
    <w:link w:val="679"/>
    <w:uiPriority w:val="9"/>
    <w:rPr>
      <w:rFonts w:ascii="Arial" w:hAnsi="Arial" w:eastAsia="Arial" w:cs="Arial"/>
      <w:i/>
      <w:iCs/>
      <w:sz w:val="22"/>
      <w:szCs w:val="22"/>
    </w:rPr>
  </w:style>
  <w:style w:type="character" w:styleId="692" w:customStyle="1">
    <w:name w:val="Заголовок 9 Знак"/>
    <w:basedOn w:val="681"/>
    <w:link w:val="680"/>
    <w:uiPriority w:val="9"/>
    <w:rPr>
      <w:rFonts w:ascii="Arial" w:hAnsi="Arial" w:eastAsia="Arial" w:cs="Arial"/>
      <w:i/>
      <w:iCs/>
      <w:sz w:val="21"/>
      <w:szCs w:val="21"/>
    </w:rPr>
  </w:style>
  <w:style w:type="paragraph" w:styleId="693">
    <w:name w:val="List Paragraph"/>
    <w:basedOn w:val="671"/>
    <w:uiPriority w:val="34"/>
    <w:qFormat/>
    <w:pPr>
      <w:contextualSpacing/>
      <w:ind w:left="720"/>
    </w:pPr>
  </w:style>
  <w:style w:type="paragraph" w:styleId="694">
    <w:name w:val="No Spacing"/>
    <w:uiPriority w:val="1"/>
    <w:qFormat/>
    <w:pPr>
      <w:spacing w:after="0" w:line="240" w:lineRule="auto"/>
    </w:pPr>
  </w:style>
  <w:style w:type="paragraph" w:styleId="695">
    <w:name w:val="Title"/>
    <w:basedOn w:val="671"/>
    <w:next w:val="671"/>
    <w:link w:val="696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696" w:customStyle="1">
    <w:name w:val="Заголовок Знак"/>
    <w:basedOn w:val="681"/>
    <w:link w:val="695"/>
    <w:uiPriority w:val="10"/>
    <w:rPr>
      <w:sz w:val="48"/>
      <w:szCs w:val="48"/>
    </w:rPr>
  </w:style>
  <w:style w:type="paragraph" w:styleId="697">
    <w:name w:val="Subtitle"/>
    <w:basedOn w:val="671"/>
    <w:next w:val="671"/>
    <w:link w:val="698"/>
    <w:uiPriority w:val="11"/>
    <w:qFormat/>
    <w:pPr>
      <w:spacing w:before="200" w:after="200"/>
    </w:pPr>
    <w:rPr>
      <w:sz w:val="24"/>
      <w:szCs w:val="24"/>
    </w:rPr>
  </w:style>
  <w:style w:type="character" w:styleId="698" w:customStyle="1">
    <w:name w:val="Подзаголовок Знак"/>
    <w:basedOn w:val="681"/>
    <w:link w:val="697"/>
    <w:uiPriority w:val="11"/>
    <w:rPr>
      <w:sz w:val="24"/>
      <w:szCs w:val="24"/>
    </w:rPr>
  </w:style>
  <w:style w:type="paragraph" w:styleId="699">
    <w:name w:val="Quote"/>
    <w:basedOn w:val="671"/>
    <w:next w:val="671"/>
    <w:link w:val="700"/>
    <w:uiPriority w:val="29"/>
    <w:qFormat/>
    <w:pPr>
      <w:ind w:left="720" w:right="720"/>
    </w:pPr>
    <w:rPr>
      <w:i/>
    </w:rPr>
  </w:style>
  <w:style w:type="character" w:styleId="700" w:customStyle="1">
    <w:name w:val="Цитата 2 Знак"/>
    <w:link w:val="699"/>
    <w:uiPriority w:val="29"/>
    <w:rPr>
      <w:i/>
    </w:rPr>
  </w:style>
  <w:style w:type="paragraph" w:styleId="701">
    <w:name w:val="Intense Quote"/>
    <w:basedOn w:val="671"/>
    <w:next w:val="671"/>
    <w:link w:val="702"/>
    <w:uiPriority w:val="30"/>
    <w:qFormat/>
    <w:pPr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702" w:customStyle="1">
    <w:name w:val="Выделенная цитата Знак"/>
    <w:link w:val="701"/>
    <w:uiPriority w:val="30"/>
    <w:rPr>
      <w:i/>
    </w:rPr>
  </w:style>
  <w:style w:type="paragraph" w:styleId="703">
    <w:name w:val="Header"/>
    <w:basedOn w:val="671"/>
    <w:link w:val="704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704" w:customStyle="1">
    <w:name w:val="Верхний колонтитул Знак"/>
    <w:basedOn w:val="681"/>
    <w:link w:val="703"/>
    <w:uiPriority w:val="99"/>
  </w:style>
  <w:style w:type="paragraph" w:styleId="705">
    <w:name w:val="Footer"/>
    <w:basedOn w:val="671"/>
    <w:link w:val="708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706" w:customStyle="1">
    <w:name w:val="Footer Char"/>
    <w:basedOn w:val="681"/>
    <w:uiPriority w:val="99"/>
  </w:style>
  <w:style w:type="paragraph" w:styleId="707">
    <w:name w:val="Caption"/>
    <w:basedOn w:val="671"/>
    <w:next w:val="671"/>
    <w:uiPriority w:val="35"/>
    <w:semiHidden/>
    <w:unhideWhenUsed/>
    <w:qFormat/>
    <w:pPr>
      <w:spacing w:line="276" w:lineRule="auto"/>
    </w:pPr>
    <w:rPr>
      <w:b/>
      <w:bCs/>
      <w:color w:val="1cade4" w:themeColor="accent1"/>
      <w:sz w:val="18"/>
      <w:szCs w:val="18"/>
    </w:rPr>
  </w:style>
  <w:style w:type="character" w:styleId="708" w:customStyle="1">
    <w:name w:val="Нижний колонтитул Знак"/>
    <w:link w:val="705"/>
    <w:uiPriority w:val="99"/>
  </w:style>
  <w:style w:type="table" w:styleId="709">
    <w:name w:val="Table Grid"/>
    <w:basedOn w:val="682"/>
    <w:uiPriority w:val="59"/>
    <w:pPr>
      <w:spacing w:after="0" w:line="240" w:lineRule="auto"/>
    </w:p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table" w:styleId="710" w:customStyle="1">
    <w:name w:val="Table Grid Light"/>
    <w:basedOn w:val="682"/>
    <w:uiPriority w:val="59"/>
    <w:pPr>
      <w:spacing w:after="0" w:line="240" w:lineRule="auto"/>
    </w:pPr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</w:tblPr>
  </w:style>
  <w:style w:type="table" w:styleId="711">
    <w:name w:val="Plain Table 1"/>
    <w:basedOn w:val="682"/>
    <w:uiPriority w:val="59"/>
    <w:pPr>
      <w:spacing w:after="0" w:line="240" w:lineRule="auto"/>
    </w:pPr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</w:tblPr>
    <w:tblStylePr w:type="band1Horz">
      <w:tcPr>
        <w:shd w:val="clear" w:color="f2f2f2" w:themeColor="text1" w:themeTint="0D" w:fill="f2f2f2" w:themeFill="text1" w:themeFillTint="0D"/>
      </w:tcPr>
    </w:tblStylePr>
    <w:tblStylePr w:type="band1Vert">
      <w:tcPr>
        <w:shd w:val="clear" w:color="f2f2f2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12">
    <w:name w:val="Plain Table 2"/>
    <w:basedOn w:val="682"/>
    <w:uiPriority w:val="59"/>
    <w:pPr>
      <w:spacing w:after="0" w:line="240" w:lineRule="auto"/>
    </w:pPr>
    <w:tblPr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13">
    <w:name w:val="Plain Table 3"/>
    <w:basedOn w:val="682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714">
    <w:name w:val="Plain Table 4"/>
    <w:basedOn w:val="682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5">
    <w:name w:val="Plain Table 5"/>
    <w:basedOn w:val="682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 w:fill="auto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 w:fill="auto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716">
    <w:name w:val="Grid Table 1 Light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989898" w:themeColor="text1" w:themeTint="67" w:sz="4" w:space="0"/>
        <w:left w:val="single" w:color="989898" w:themeColor="text1" w:themeTint="67" w:sz="4" w:space="0"/>
        <w:bottom w:val="single" w:color="989898" w:themeColor="text1" w:themeTint="67" w:sz="4" w:space="0"/>
        <w:right w:val="single" w:color="989898" w:themeColor="text1" w:themeTint="67" w:sz="4" w:space="0"/>
        <w:insideH w:val="single" w:color="989898" w:themeColor="text1" w:themeTint="67" w:sz="4" w:space="0"/>
        <w:insideV w:val="single" w:color="989898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989898" w:themeColor="text1" w:themeTint="67" w:sz="4" w:space="0"/>
          <w:left w:val="single" w:color="989898" w:themeColor="text1" w:themeTint="67" w:sz="4" w:space="0"/>
          <w:bottom w:val="single" w:color="989898" w:themeColor="text1" w:themeTint="67" w:sz="4" w:space="0"/>
          <w:right w:val="single" w:color="989898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6A6A6A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7" w:customStyle="1">
    <w:name w:val="Grid Table 1 Light - Accent 1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A3DDF4" w:themeColor="accent1" w:themeTint="67" w:sz="4" w:space="0"/>
        <w:left w:val="single" w:color="A3DDF4" w:themeColor="accent1" w:themeTint="67" w:sz="4" w:space="0"/>
        <w:bottom w:val="single" w:color="A3DDF4" w:themeColor="accent1" w:themeTint="67" w:sz="4" w:space="0"/>
        <w:right w:val="single" w:color="A3DDF4" w:themeColor="accent1" w:themeTint="67" w:sz="4" w:space="0"/>
        <w:insideH w:val="single" w:color="A3DDF4" w:themeColor="accent1" w:themeTint="67" w:sz="4" w:space="0"/>
        <w:insideV w:val="single" w:color="A3DDF4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A3DDF4" w:themeColor="accent1" w:themeTint="67" w:sz="4" w:space="0"/>
          <w:left w:val="single" w:color="A3DDF4" w:themeColor="accent1" w:themeTint="67" w:sz="4" w:space="0"/>
          <w:bottom w:val="single" w:color="A3DDF4" w:themeColor="accent1" w:themeTint="67" w:sz="4" w:space="0"/>
          <w:right w:val="single" w:color="A3DDF4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7ACEEF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8" w:customStyle="1">
    <w:name w:val="Grid Table 1 Light - Accent 2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A1CDED" w:themeColor="accent2" w:themeTint="67" w:sz="4" w:space="0"/>
        <w:left w:val="single" w:color="A1CDED" w:themeColor="accent2" w:themeTint="67" w:sz="4" w:space="0"/>
        <w:bottom w:val="single" w:color="A1CDED" w:themeColor="accent2" w:themeTint="67" w:sz="4" w:space="0"/>
        <w:right w:val="single" w:color="A1CDED" w:themeColor="accent2" w:themeTint="67" w:sz="4" w:space="0"/>
        <w:insideH w:val="single" w:color="A1CDED" w:themeColor="accent2" w:themeTint="67" w:sz="4" w:space="0"/>
        <w:insideV w:val="single" w:color="A1CDED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A1CDED" w:themeColor="accent2" w:themeTint="67" w:sz="4" w:space="0"/>
          <w:left w:val="single" w:color="A1CDED" w:themeColor="accent2" w:themeTint="67" w:sz="4" w:space="0"/>
          <w:bottom w:val="single" w:color="A1CDED" w:themeColor="accent2" w:themeTint="67" w:sz="4" w:space="0"/>
          <w:right w:val="single" w:color="A1CDED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78B7E5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9" w:customStyle="1">
    <w:name w:val="Grid Table 1 Light - Accent 3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A7EBEF" w:themeColor="accent3" w:themeTint="67" w:sz="4" w:space="0"/>
        <w:left w:val="single" w:color="A7EBEF" w:themeColor="accent3" w:themeTint="67" w:sz="4" w:space="0"/>
        <w:bottom w:val="single" w:color="A7EBEF" w:themeColor="accent3" w:themeTint="67" w:sz="4" w:space="0"/>
        <w:right w:val="single" w:color="A7EBEF" w:themeColor="accent3" w:themeTint="67" w:sz="4" w:space="0"/>
        <w:insideH w:val="single" w:color="A7EBEF" w:themeColor="accent3" w:themeTint="67" w:sz="4" w:space="0"/>
        <w:insideV w:val="single" w:color="A7EBEF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A7EBEF" w:themeColor="accent3" w:themeTint="67" w:sz="4" w:space="0"/>
          <w:left w:val="single" w:color="A7EBEF" w:themeColor="accent3" w:themeTint="67" w:sz="4" w:space="0"/>
          <w:bottom w:val="single" w:color="A7EBEF" w:themeColor="accent3" w:themeTint="67" w:sz="4" w:space="0"/>
          <w:right w:val="single" w:color="A7EBEF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80E2E8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0" w:customStyle="1">
    <w:name w:val="Grid Table 1 Light - Accent 4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B2E3D5" w:themeColor="accent4" w:themeTint="67" w:sz="4" w:space="0"/>
        <w:left w:val="single" w:color="B2E3D5" w:themeColor="accent4" w:themeTint="67" w:sz="4" w:space="0"/>
        <w:bottom w:val="single" w:color="B2E3D5" w:themeColor="accent4" w:themeTint="67" w:sz="4" w:space="0"/>
        <w:right w:val="single" w:color="B2E3D5" w:themeColor="accent4" w:themeTint="67" w:sz="4" w:space="0"/>
        <w:insideH w:val="single" w:color="B2E3D5" w:themeColor="accent4" w:themeTint="67" w:sz="4" w:space="0"/>
        <w:insideV w:val="single" w:color="B2E3D5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2E3D5" w:themeColor="accent4" w:themeTint="67" w:sz="4" w:space="0"/>
          <w:left w:val="single" w:color="B2E3D5" w:themeColor="accent4" w:themeTint="67" w:sz="4" w:space="0"/>
          <w:bottom w:val="single" w:color="B2E3D5" w:themeColor="accent4" w:themeTint="67" w:sz="4" w:space="0"/>
          <w:right w:val="single" w:color="B2E3D5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8FD7C2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1" w:customStyle="1">
    <w:name w:val="Grid Table 1 Light - Accent 5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A8D7B5" w:themeColor="accent5" w:themeTint="67" w:sz="4" w:space="0"/>
        <w:left w:val="single" w:color="A8D7B5" w:themeColor="accent5" w:themeTint="67" w:sz="4" w:space="0"/>
        <w:bottom w:val="single" w:color="A8D7B5" w:themeColor="accent5" w:themeTint="67" w:sz="4" w:space="0"/>
        <w:right w:val="single" w:color="A8D7B5" w:themeColor="accent5" w:themeTint="67" w:sz="4" w:space="0"/>
        <w:insideH w:val="single" w:color="A8D7B5" w:themeColor="accent5" w:themeTint="67" w:sz="4" w:space="0"/>
        <w:insideV w:val="single" w:color="A8D7B5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A8D7B5" w:themeColor="accent5" w:themeTint="67" w:sz="4" w:space="0"/>
          <w:left w:val="single" w:color="A8D7B5" w:themeColor="accent5" w:themeTint="67" w:sz="4" w:space="0"/>
          <w:bottom w:val="single" w:color="A8D7B5" w:themeColor="accent5" w:themeTint="67" w:sz="4" w:space="0"/>
          <w:right w:val="single" w:color="A8D7B5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81C694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2" w:customStyle="1">
    <w:name w:val="Grid Table 1 Light - Accent 6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BFD9D8" w:themeColor="accent6" w:themeTint="67" w:sz="4" w:space="0"/>
        <w:left w:val="single" w:color="BFD9D8" w:themeColor="accent6" w:themeTint="67" w:sz="4" w:space="0"/>
        <w:bottom w:val="single" w:color="BFD9D8" w:themeColor="accent6" w:themeTint="67" w:sz="4" w:space="0"/>
        <w:right w:val="single" w:color="BFD9D8" w:themeColor="accent6" w:themeTint="67" w:sz="4" w:space="0"/>
        <w:insideH w:val="single" w:color="BFD9D8" w:themeColor="accent6" w:themeTint="67" w:sz="4" w:space="0"/>
        <w:insideV w:val="single" w:color="BFD9D8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FD9D8" w:themeColor="accent6" w:themeTint="67" w:sz="4" w:space="0"/>
          <w:left w:val="single" w:color="BFD9D8" w:themeColor="accent6" w:themeTint="67" w:sz="4" w:space="0"/>
          <w:bottom w:val="single" w:color="BFD9D8" w:themeColor="accent6" w:themeTint="67" w:sz="4" w:space="0"/>
          <w:right w:val="single" w:color="BFD9D8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A3C9C6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3">
    <w:name w:val="Grid Table 2"/>
    <w:basedOn w:val="68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6A6A6A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6A6A6A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4" w:customStyle="1">
    <w:name w:val="Grid Table 2 - Accent 1"/>
    <w:basedOn w:val="68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2EB3E6" w:themeColor="accent1" w:themeTint="EA" w:sz="4" w:space="0"/>
        <w:insideH w:val="single" w:color="2EB3E6" w:themeColor="accent1" w:themeTint="EA" w:sz="4" w:space="0"/>
        <w:insideV w:val="single" w:color="2EB3E6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0eef9" w:themeColor="accent1" w:themeTint="34" w:fill="d0eef9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0eef9" w:themeColor="accent1" w:themeTint="34" w:fill="d0eef9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2EB3E6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2EB3E6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5" w:customStyle="1">
    <w:name w:val="Grid Table 2 - Accent 2"/>
    <w:basedOn w:val="68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76B6E5" w:themeColor="accent2" w:themeTint="97" w:sz="4" w:space="0"/>
        <w:insideH w:val="single" w:color="76B6E5" w:themeColor="accent2" w:themeTint="97" w:sz="4" w:space="0"/>
        <w:insideV w:val="single" w:color="76B6E5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1e6f6" w:themeColor="accent2" w:themeTint="32" w:fill="d1e6f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d1e6f6" w:themeColor="accent2" w:themeTint="32" w:fill="d1e6f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76B6E5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76B6E5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6" w:customStyle="1">
    <w:name w:val="Grid Table 2 - Accent 3"/>
    <w:basedOn w:val="68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27CED7" w:themeColor="accent3" w:themeTint="FE" w:sz="4" w:space="0"/>
        <w:insideH w:val="single" w:color="27CED7" w:themeColor="accent3" w:themeTint="FE" w:sz="4" w:space="0"/>
        <w:insideV w:val="single" w:color="27CED7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2f5f7" w:themeColor="accent3" w:themeTint="34" w:fill="d2f5f7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2f5f7" w:themeColor="accent3" w:themeTint="34" w:fill="d2f5f7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27CED7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27CED7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7" w:customStyle="1">
    <w:name w:val="Grid Table 2 - Accent 4"/>
    <w:basedOn w:val="68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8BD6C0" w:themeColor="accent4" w:themeTint="9A" w:sz="4" w:space="0"/>
        <w:insideH w:val="single" w:color="8BD6C0" w:themeColor="accent4" w:themeTint="9A" w:sz="4" w:space="0"/>
        <w:insideV w:val="single" w:color="8BD6C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8f1e9" w:themeColor="accent4" w:themeTint="34" w:fill="d8f1e9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8f1e9" w:themeColor="accent4" w:themeTint="34" w:fill="d8f1e9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8BD6C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8BD6C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8" w:customStyle="1">
    <w:name w:val="Grid Table 2 - Accent 5"/>
    <w:basedOn w:val="68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3E8853" w:themeColor="accent5" w:sz="4" w:space="0"/>
        <w:insideH w:val="single" w:color="3E8853" w:themeColor="accent5" w:sz="4" w:space="0"/>
        <w:insideV w:val="single" w:color="3E8853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3ebd9" w:themeColor="accent5" w:themeTint="34" w:fill="d3ebd9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3ebd9" w:themeColor="accent5" w:themeTint="34" w:fill="d3ebd9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3E8853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3E8853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9" w:customStyle="1">
    <w:name w:val="Grid Table 2 - Accent 6"/>
    <w:basedOn w:val="68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62A39F" w:themeColor="accent6" w:sz="4" w:space="0"/>
        <w:insideH w:val="single" w:color="62A39F" w:themeColor="accent6" w:sz="4" w:space="0"/>
        <w:insideV w:val="single" w:color="62A39F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eeceb" w:themeColor="accent6" w:themeTint="34" w:fill="deeceb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eeceb" w:themeColor="accent6" w:themeTint="34" w:fill="deeceb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62A39F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62A39F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0">
    <w:name w:val="Grid Table 3"/>
    <w:basedOn w:val="68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1" w:customStyle="1">
    <w:name w:val="Grid Table 3 - Accent 1"/>
    <w:basedOn w:val="68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2EB3E6" w:themeColor="accent1" w:themeTint="EA" w:sz="4" w:space="0"/>
        <w:insideH w:val="single" w:color="2EB3E6" w:themeColor="accent1" w:themeTint="EA" w:sz="4" w:space="0"/>
        <w:insideV w:val="single" w:color="2EB3E6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0eef9" w:themeColor="accent1" w:themeTint="34" w:fill="d0eef9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0eef9" w:themeColor="accent1" w:themeTint="34" w:fill="d0eef9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2" w:customStyle="1">
    <w:name w:val="Grid Table 3 - Accent 2"/>
    <w:basedOn w:val="68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76B6E5" w:themeColor="accent2" w:themeTint="97" w:sz="4" w:space="0"/>
        <w:insideH w:val="single" w:color="76B6E5" w:themeColor="accent2" w:themeTint="97" w:sz="4" w:space="0"/>
        <w:insideV w:val="single" w:color="76B6E5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1e6f6" w:themeColor="accent2" w:themeTint="32" w:fill="d1e6f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d1e6f6" w:themeColor="accent2" w:themeTint="32" w:fill="d1e6f6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3" w:customStyle="1">
    <w:name w:val="Grid Table 3 - Accent 3"/>
    <w:basedOn w:val="68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27CED7" w:themeColor="accent3" w:themeTint="FE" w:sz="4" w:space="0"/>
        <w:insideH w:val="single" w:color="27CED7" w:themeColor="accent3" w:themeTint="FE" w:sz="4" w:space="0"/>
        <w:insideV w:val="single" w:color="27CED7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2f5f7" w:themeColor="accent3" w:themeTint="34" w:fill="d2f5f7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2f5f7" w:themeColor="accent3" w:themeTint="34" w:fill="d2f5f7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4" w:customStyle="1">
    <w:name w:val="Grid Table 3 - Accent 4"/>
    <w:basedOn w:val="68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8BD6C0" w:themeColor="accent4" w:themeTint="9A" w:sz="4" w:space="0"/>
        <w:insideH w:val="single" w:color="8BD6C0" w:themeColor="accent4" w:themeTint="9A" w:sz="4" w:space="0"/>
        <w:insideV w:val="single" w:color="8BD6C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8f1e9" w:themeColor="accent4" w:themeTint="34" w:fill="d8f1e9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8f1e9" w:themeColor="accent4" w:themeTint="34" w:fill="d8f1e9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5" w:customStyle="1">
    <w:name w:val="Grid Table 3 - Accent 5"/>
    <w:basedOn w:val="68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3E8853" w:themeColor="accent5" w:sz="4" w:space="0"/>
        <w:insideH w:val="single" w:color="3E8853" w:themeColor="accent5" w:sz="4" w:space="0"/>
        <w:insideV w:val="single" w:color="3E8853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3ebd9" w:themeColor="accent5" w:themeTint="34" w:fill="d3ebd9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3ebd9" w:themeColor="accent5" w:themeTint="34" w:fill="d3ebd9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6" w:customStyle="1">
    <w:name w:val="Grid Table 3 - Accent 6"/>
    <w:basedOn w:val="68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62A39F" w:themeColor="accent6" w:sz="4" w:space="0"/>
        <w:insideH w:val="single" w:color="62A39F" w:themeColor="accent6" w:sz="4" w:space="0"/>
        <w:insideV w:val="single" w:color="62A39F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eeceb" w:themeColor="accent6" w:themeTint="34" w:fill="deeceb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eeceb" w:themeColor="accent6" w:themeTint="34" w:fill="deeceb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7">
    <w:name w:val="Grid Table 4"/>
    <w:basedOn w:val="682"/>
    <w:uiPriority w:val="59"/>
    <w:pPr>
      <w:spacing w:after="0" w:line="240" w:lineRule="auto"/>
    </w:pPr>
    <w:tblPr>
      <w:tblStyleRowBandSize w:val="1"/>
      <w:tblStyleColBandSize w:val="1"/>
      <w:tblBorders>
        <w:top w:val="single" w:color="6F6F6F" w:themeColor="text1" w:themeTint="90" w:sz="4" w:space="0"/>
        <w:left w:val="single" w:color="6F6F6F" w:themeColor="text1" w:themeTint="90" w:sz="4" w:space="0"/>
        <w:bottom w:val="single" w:color="6F6F6F" w:themeColor="text1" w:themeTint="90" w:sz="4" w:space="0"/>
        <w:right w:val="single" w:color="6F6F6F" w:themeColor="text1" w:themeTint="90" w:sz="4" w:space="0"/>
        <w:insideH w:val="single" w:color="6F6F6F" w:themeColor="text1" w:themeTint="90" w:sz="4" w:space="0"/>
        <w:insideV w:val="single" w:color="6F6F6F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38" w:customStyle="1">
    <w:name w:val="Grid Table 4 - Accent 1"/>
    <w:basedOn w:val="682"/>
    <w:uiPriority w:val="59"/>
    <w:pPr>
      <w:spacing w:after="0" w:line="240" w:lineRule="auto"/>
    </w:pPr>
    <w:tblPr>
      <w:tblStyleRowBandSize w:val="1"/>
      <w:tblStyleColBandSize w:val="1"/>
      <w:tblBorders>
        <w:top w:val="single" w:color="7ED0EF" w:themeColor="accent1" w:themeTint="90" w:sz="4" w:space="0"/>
        <w:left w:val="single" w:color="7ED0EF" w:themeColor="accent1" w:themeTint="90" w:sz="4" w:space="0"/>
        <w:bottom w:val="single" w:color="7ED0EF" w:themeColor="accent1" w:themeTint="90" w:sz="4" w:space="0"/>
        <w:right w:val="single" w:color="7ED0EF" w:themeColor="accent1" w:themeTint="90" w:sz="4" w:space="0"/>
        <w:insideH w:val="single" w:color="7ED0EF" w:themeColor="accent1" w:themeTint="90" w:sz="4" w:space="0"/>
        <w:insideV w:val="single" w:color="7ED0EF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2eef9" w:themeColor="accent1" w:themeTint="32" w:fill="d2eef9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d2eef9" w:themeColor="accent1" w:themeTint="32" w:fill="d2eef9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2eb3e6" w:themeColor="accent1" w:themeTint="EA" w:fill="2eb3e6" w:themeFill="accent1" w:themeFillTint="EA"/>
        <w:tcBorders>
          <w:top w:val="single" w:color="2EB3E6" w:themeColor="accent1" w:themeTint="EA" w:sz="4" w:space="0"/>
          <w:left w:val="single" w:color="2EB3E6" w:themeColor="accent1" w:themeTint="EA" w:sz="4" w:space="0"/>
          <w:bottom w:val="single" w:color="2EB3E6" w:themeColor="accent1" w:themeTint="EA" w:sz="4" w:space="0"/>
          <w:right w:val="single" w:color="2EB3E6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2EB3E6" w:themeColor="accent1" w:themeTint="EA" w:sz="4" w:space="0"/>
        </w:tcBorders>
      </w:tcPr>
    </w:tblStylePr>
  </w:style>
  <w:style w:type="table" w:styleId="739" w:customStyle="1">
    <w:name w:val="Grid Table 4 - Accent 2"/>
    <w:basedOn w:val="682"/>
    <w:uiPriority w:val="59"/>
    <w:pPr>
      <w:spacing w:after="0" w:line="240" w:lineRule="auto"/>
    </w:pPr>
    <w:tblPr>
      <w:tblStyleRowBandSize w:val="1"/>
      <w:tblStyleColBandSize w:val="1"/>
      <w:tblBorders>
        <w:top w:val="single" w:color="7CB9E6" w:themeColor="accent2" w:themeTint="90" w:sz="4" w:space="0"/>
        <w:left w:val="single" w:color="7CB9E6" w:themeColor="accent2" w:themeTint="90" w:sz="4" w:space="0"/>
        <w:bottom w:val="single" w:color="7CB9E6" w:themeColor="accent2" w:themeTint="90" w:sz="4" w:space="0"/>
        <w:right w:val="single" w:color="7CB9E6" w:themeColor="accent2" w:themeTint="90" w:sz="4" w:space="0"/>
        <w:insideH w:val="single" w:color="7CB9E6" w:themeColor="accent2" w:themeTint="90" w:sz="4" w:space="0"/>
        <w:insideV w:val="single" w:color="7CB9E6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1e6f6" w:themeColor="accent2" w:themeTint="32" w:fill="d1e6f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d1e6f6" w:themeColor="accent2" w:themeTint="32" w:fill="d1e6f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76b6e5" w:themeColor="accent2" w:themeTint="97" w:fill="76b6e5" w:themeFill="accent2" w:themeFillTint="97"/>
        <w:tcBorders>
          <w:top w:val="single" w:color="76B6E5" w:themeColor="accent2" w:themeTint="97" w:sz="4" w:space="0"/>
          <w:left w:val="single" w:color="76B6E5" w:themeColor="accent2" w:themeTint="97" w:sz="4" w:space="0"/>
          <w:bottom w:val="single" w:color="76B6E5" w:themeColor="accent2" w:themeTint="97" w:sz="4" w:space="0"/>
          <w:right w:val="single" w:color="76B6E5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76B6E5" w:themeColor="accent2" w:themeTint="97" w:sz="4" w:space="0"/>
        </w:tcBorders>
      </w:tcPr>
    </w:tblStylePr>
  </w:style>
  <w:style w:type="table" w:styleId="740" w:customStyle="1">
    <w:name w:val="Grid Table 4 - Accent 3"/>
    <w:basedOn w:val="682"/>
    <w:uiPriority w:val="59"/>
    <w:pPr>
      <w:spacing w:after="0" w:line="240" w:lineRule="auto"/>
    </w:pPr>
    <w:tblPr>
      <w:tblStyleRowBandSize w:val="1"/>
      <w:tblStyleColBandSize w:val="1"/>
      <w:tblBorders>
        <w:top w:val="single" w:color="84E3E8" w:themeColor="accent3" w:themeTint="90" w:sz="4" w:space="0"/>
        <w:left w:val="single" w:color="84E3E8" w:themeColor="accent3" w:themeTint="90" w:sz="4" w:space="0"/>
        <w:bottom w:val="single" w:color="84E3E8" w:themeColor="accent3" w:themeTint="90" w:sz="4" w:space="0"/>
        <w:right w:val="single" w:color="84E3E8" w:themeColor="accent3" w:themeTint="90" w:sz="4" w:space="0"/>
        <w:insideH w:val="single" w:color="84E3E8" w:themeColor="accent3" w:themeTint="90" w:sz="4" w:space="0"/>
        <w:insideV w:val="single" w:color="84E3E8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2f5f7" w:themeColor="accent3" w:themeTint="34" w:fill="d2f5f7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2f5f7" w:themeColor="accent3" w:themeTint="34" w:fill="d2f5f7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27ced7" w:themeColor="accent3" w:themeTint="FE" w:fill="27ced7" w:themeFill="accent3" w:themeFillTint="FE"/>
        <w:tcBorders>
          <w:top w:val="single" w:color="27CED7" w:themeColor="accent3" w:themeTint="FE" w:sz="4" w:space="0"/>
          <w:left w:val="single" w:color="27CED7" w:themeColor="accent3" w:themeTint="FE" w:sz="4" w:space="0"/>
          <w:bottom w:val="single" w:color="27CED7" w:themeColor="accent3" w:themeTint="FE" w:sz="4" w:space="0"/>
          <w:right w:val="single" w:color="27CED7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27CED7" w:themeColor="accent3" w:themeTint="FE" w:sz="4" w:space="0"/>
        </w:tcBorders>
      </w:tcPr>
    </w:tblStylePr>
  </w:style>
  <w:style w:type="table" w:styleId="741" w:customStyle="1">
    <w:name w:val="Grid Table 4 - Accent 4"/>
    <w:basedOn w:val="682"/>
    <w:uiPriority w:val="59"/>
    <w:pPr>
      <w:spacing w:after="0" w:line="240" w:lineRule="auto"/>
    </w:pPr>
    <w:tblPr>
      <w:tblStyleRowBandSize w:val="1"/>
      <w:tblStyleColBandSize w:val="1"/>
      <w:tblBorders>
        <w:top w:val="single" w:color="93D8C4" w:themeColor="accent4" w:themeTint="90" w:sz="4" w:space="0"/>
        <w:left w:val="single" w:color="93D8C4" w:themeColor="accent4" w:themeTint="90" w:sz="4" w:space="0"/>
        <w:bottom w:val="single" w:color="93D8C4" w:themeColor="accent4" w:themeTint="90" w:sz="4" w:space="0"/>
        <w:right w:val="single" w:color="93D8C4" w:themeColor="accent4" w:themeTint="90" w:sz="4" w:space="0"/>
        <w:insideH w:val="single" w:color="93D8C4" w:themeColor="accent4" w:themeTint="90" w:sz="4" w:space="0"/>
        <w:insideV w:val="single" w:color="93D8C4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8f1e9" w:themeColor="accent4" w:themeTint="34" w:fill="d8f1e9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8f1e9" w:themeColor="accent4" w:themeTint="34" w:fill="d8f1e9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8bd6c0" w:themeColor="accent4" w:themeTint="9A" w:fill="8bd6c0" w:themeFill="accent4" w:themeFillTint="9A"/>
        <w:tcBorders>
          <w:top w:val="single" w:color="8BD6C0" w:themeColor="accent4" w:themeTint="9A" w:sz="4" w:space="0"/>
          <w:left w:val="single" w:color="8BD6C0" w:themeColor="accent4" w:themeTint="9A" w:sz="4" w:space="0"/>
          <w:bottom w:val="single" w:color="8BD6C0" w:themeColor="accent4" w:themeTint="9A" w:sz="4" w:space="0"/>
          <w:right w:val="single" w:color="8BD6C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8BD6C0" w:themeColor="accent4" w:themeTint="9A" w:sz="4" w:space="0"/>
        </w:tcBorders>
      </w:tcPr>
    </w:tblStylePr>
  </w:style>
  <w:style w:type="table" w:styleId="742" w:customStyle="1">
    <w:name w:val="Grid Table 4 - Accent 5"/>
    <w:basedOn w:val="682"/>
    <w:uiPriority w:val="59"/>
    <w:pPr>
      <w:spacing w:after="0" w:line="240" w:lineRule="auto"/>
    </w:pPr>
    <w:tblPr>
      <w:tblStyleRowBandSize w:val="1"/>
      <w:tblStyleColBandSize w:val="1"/>
      <w:tblBorders>
        <w:top w:val="single" w:color="85C798" w:themeColor="accent5" w:themeTint="90" w:sz="4" w:space="0"/>
        <w:left w:val="single" w:color="85C798" w:themeColor="accent5" w:themeTint="90" w:sz="4" w:space="0"/>
        <w:bottom w:val="single" w:color="85C798" w:themeColor="accent5" w:themeTint="90" w:sz="4" w:space="0"/>
        <w:right w:val="single" w:color="85C798" w:themeColor="accent5" w:themeTint="90" w:sz="4" w:space="0"/>
        <w:insideH w:val="single" w:color="85C798" w:themeColor="accent5" w:themeTint="90" w:sz="4" w:space="0"/>
        <w:insideV w:val="single" w:color="85C798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3ebd9" w:themeColor="accent5" w:themeTint="34" w:fill="d3ebd9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3ebd9" w:themeColor="accent5" w:themeTint="34" w:fill="d3ebd9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3e8853" w:themeColor="accent5" w:fill="3e8853" w:themeFill="accent5"/>
        <w:tcBorders>
          <w:top w:val="single" w:color="3E8853" w:themeColor="accent5" w:sz="4" w:space="0"/>
          <w:left w:val="single" w:color="3E8853" w:themeColor="accent5" w:sz="4" w:space="0"/>
          <w:bottom w:val="single" w:color="3E8853" w:themeColor="accent5" w:sz="4" w:space="0"/>
          <w:right w:val="single" w:color="3E8853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3E8853" w:themeColor="accent5" w:sz="4" w:space="0"/>
        </w:tcBorders>
      </w:tcPr>
    </w:tblStylePr>
  </w:style>
  <w:style w:type="table" w:styleId="743" w:customStyle="1">
    <w:name w:val="Grid Table 4 - Accent 6"/>
    <w:basedOn w:val="682"/>
    <w:uiPriority w:val="59"/>
    <w:pPr>
      <w:spacing w:after="0" w:line="240" w:lineRule="auto"/>
    </w:pPr>
    <w:tblPr>
      <w:tblStyleRowBandSize w:val="1"/>
      <w:tblStyleColBandSize w:val="1"/>
      <w:tblBorders>
        <w:top w:val="single" w:color="A6CBC8" w:themeColor="accent6" w:themeTint="90" w:sz="4" w:space="0"/>
        <w:left w:val="single" w:color="A6CBC8" w:themeColor="accent6" w:themeTint="90" w:sz="4" w:space="0"/>
        <w:bottom w:val="single" w:color="A6CBC8" w:themeColor="accent6" w:themeTint="90" w:sz="4" w:space="0"/>
        <w:right w:val="single" w:color="A6CBC8" w:themeColor="accent6" w:themeTint="90" w:sz="4" w:space="0"/>
        <w:insideH w:val="single" w:color="A6CBC8" w:themeColor="accent6" w:themeTint="90" w:sz="4" w:space="0"/>
        <w:insideV w:val="single" w:color="A6CBC8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eeceb" w:themeColor="accent6" w:themeTint="34" w:fill="deeceb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eeceb" w:themeColor="accent6" w:themeTint="34" w:fill="deeceb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62a39f" w:themeColor="accent6" w:fill="62a39f" w:themeFill="accent6"/>
        <w:tcBorders>
          <w:top w:val="single" w:color="62A39F" w:themeColor="accent6" w:sz="4" w:space="0"/>
          <w:left w:val="single" w:color="62A39F" w:themeColor="accent6" w:sz="4" w:space="0"/>
          <w:bottom w:val="single" w:color="62A39F" w:themeColor="accent6" w:sz="4" w:space="0"/>
          <w:right w:val="single" w:color="62A39F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62A39F" w:themeColor="accent6" w:sz="4" w:space="0"/>
        </w:tcBorders>
      </w:tcPr>
    </w:tblStylePr>
  </w:style>
  <w:style w:type="table" w:styleId="744">
    <w:name w:val="Grid Table 5 Dark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bfbfbf" w:themeColor="text1" w:themeTint="40" w:fill="bfbfbf" w:themeFill="text1" w:themeFillTint="40"/>
    </w:tblPr>
    <w:tblStylePr w:type="band1Horz">
      <w:tcPr>
        <w:shd w:val="clear" w:color="8a8a8a" w:themeColor="text1" w:themeTint="75" w:fill="8a8a8a" w:themeFill="text1" w:themeFillTint="75"/>
      </w:tcPr>
    </w:tblStylePr>
    <w:tblStylePr w:type="band1Vert">
      <w:tcPr>
        <w:shd w:val="clear" w:color="8a8a8a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  <w:tcBorders>
          <w:top w:val="single" w:color="FFFFFF" w:themeColor="light1" w:sz="4" w:space="0"/>
        </w:tcBorders>
      </w:tcPr>
    </w:tblStylePr>
  </w:style>
  <w:style w:type="table" w:styleId="745" w:customStyle="1">
    <w:name w:val="Grid Table 5 Dark- Accent 1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d0eef9" w:themeColor="accent1" w:themeTint="34" w:fill="d0eef9" w:themeFill="accent1" w:themeFillTint="34"/>
    </w:tblPr>
    <w:tblStylePr w:type="band1Horz">
      <w:tcPr>
        <w:shd w:val="clear" w:color="96d9f2" w:themeColor="accent1" w:themeTint="75" w:fill="96d9f2" w:themeFill="accent1" w:themeFillTint="75"/>
      </w:tcPr>
    </w:tblStylePr>
    <w:tblStylePr w:type="band1Vert">
      <w:tcPr>
        <w:shd w:val="clear" w:color="96d9f2" w:themeColor="accent1" w:themeTint="75" w:fill="96d9f2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1cade4" w:themeColor="accent1" w:fill="1cade4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1cade4" w:themeColor="accent1" w:fill="1cade4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1cade4" w:themeColor="accent1" w:fill="1cade4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1cade4" w:themeColor="accent1" w:fill="1cade4" w:themeFill="accent1"/>
        <w:tcBorders>
          <w:top w:val="single" w:color="FFFFFF" w:themeColor="light1" w:sz="4" w:space="0"/>
        </w:tcBorders>
      </w:tcPr>
    </w:tblStylePr>
  </w:style>
  <w:style w:type="table" w:styleId="746" w:customStyle="1">
    <w:name w:val="Grid Table 5 Dark - Accent 2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d1e6f6" w:themeColor="accent2" w:themeTint="32" w:fill="d1e6f6" w:themeFill="accent2" w:themeFillTint="32"/>
    </w:tblPr>
    <w:tblStylePr w:type="band1Horz">
      <w:tcPr>
        <w:shd w:val="clear" w:color="95c6ea" w:themeColor="accent2" w:themeTint="75" w:fill="95c6ea" w:themeFill="accent2" w:themeFillTint="75"/>
      </w:tcPr>
    </w:tblStylePr>
    <w:tblStylePr w:type="band1Vert">
      <w:tcPr>
        <w:shd w:val="clear" w:color="95c6ea" w:themeColor="accent2" w:themeTint="75" w:fill="95c6ea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2683c6" w:themeColor="accent2" w:fill="2683c6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2683c6" w:themeColor="accent2" w:fill="2683c6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2683c6" w:themeColor="accent2" w:fill="2683c6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2683c6" w:themeColor="accent2" w:fill="2683c6" w:themeFill="accent2"/>
        <w:tcBorders>
          <w:top w:val="single" w:color="FFFFFF" w:themeColor="light1" w:sz="4" w:space="0"/>
        </w:tcBorders>
      </w:tcPr>
    </w:tblStylePr>
  </w:style>
  <w:style w:type="table" w:styleId="747" w:customStyle="1">
    <w:name w:val="Grid Table 5 Dark - Accent 3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d2f5f7" w:themeColor="accent3" w:themeTint="34" w:fill="d2f5f7" w:themeFill="accent3" w:themeFillTint="34"/>
    </w:tblPr>
    <w:tblStylePr w:type="band1Horz">
      <w:tcPr>
        <w:shd w:val="clear" w:color="9be8ed" w:themeColor="accent3" w:themeTint="75" w:fill="9be8ed" w:themeFill="accent3" w:themeFillTint="75"/>
      </w:tcPr>
    </w:tblStylePr>
    <w:tblStylePr w:type="band1Vert">
      <w:tcPr>
        <w:shd w:val="clear" w:color="9be8ed" w:themeColor="accent3" w:themeTint="75" w:fill="9be8ed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27ced7" w:themeColor="accent3" w:fill="27ced7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27ced7" w:themeColor="accent3" w:fill="27ced7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27ced7" w:themeColor="accent3" w:fill="27ced7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27ced7" w:themeColor="accent3" w:fill="27ced7" w:themeFill="accent3"/>
        <w:tcBorders>
          <w:top w:val="single" w:color="FFFFFF" w:themeColor="light1" w:sz="4" w:space="0"/>
        </w:tcBorders>
      </w:tcPr>
    </w:tblStylePr>
  </w:style>
  <w:style w:type="table" w:styleId="748" w:customStyle="1">
    <w:name w:val="Grid Table 5 Dark- Accent 4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d8f1e9" w:themeColor="accent4" w:themeTint="34" w:fill="d8f1e9" w:themeFill="accent4" w:themeFillTint="34"/>
    </w:tblPr>
    <w:tblStylePr w:type="band1Horz">
      <w:tcPr>
        <w:shd w:val="clear" w:color="a7e0cf" w:themeColor="accent4" w:themeTint="75" w:fill="a7e0cf" w:themeFill="accent4" w:themeFillTint="75"/>
      </w:tcPr>
    </w:tblStylePr>
    <w:tblStylePr w:type="band1Vert">
      <w:tcPr>
        <w:shd w:val="clear" w:color="a7e0cf" w:themeColor="accent4" w:themeTint="75" w:fill="a7e0cf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42ba97" w:themeColor="accent4" w:fill="42ba97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42ba97" w:themeColor="accent4" w:fill="42ba97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42ba97" w:themeColor="accent4" w:fill="42ba97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42ba97" w:themeColor="accent4" w:fill="42ba97" w:themeFill="accent4"/>
        <w:tcBorders>
          <w:top w:val="single" w:color="FFFFFF" w:themeColor="light1" w:sz="4" w:space="0"/>
        </w:tcBorders>
      </w:tcPr>
    </w:tblStylePr>
  </w:style>
  <w:style w:type="table" w:styleId="749" w:customStyle="1">
    <w:name w:val="Grid Table 5 Dark - Accent 5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d3ebd9" w:themeColor="accent5" w:themeTint="34" w:fill="d3ebd9" w:themeFill="accent5" w:themeFillTint="34"/>
    </w:tblPr>
    <w:tblStylePr w:type="band1Horz">
      <w:tcPr>
        <w:shd w:val="clear" w:color="9cd2ab" w:themeColor="accent5" w:themeTint="75" w:fill="9cd2ab" w:themeFill="accent5" w:themeFillTint="75"/>
      </w:tcPr>
    </w:tblStylePr>
    <w:tblStylePr w:type="band1Vert">
      <w:tcPr>
        <w:shd w:val="clear" w:color="9cd2ab" w:themeColor="accent5" w:themeTint="75" w:fill="9cd2ab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3e8853" w:themeColor="accent5" w:fill="3e8853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3e8853" w:themeColor="accent5" w:fill="3e8853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3e8853" w:themeColor="accent5" w:fill="3e8853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3e8853" w:themeColor="accent5" w:fill="3e8853" w:themeFill="accent5"/>
        <w:tcBorders>
          <w:top w:val="single" w:color="FFFFFF" w:themeColor="light1" w:sz="4" w:space="0"/>
        </w:tcBorders>
      </w:tcPr>
    </w:tblStylePr>
  </w:style>
  <w:style w:type="table" w:styleId="750" w:customStyle="1">
    <w:name w:val="Grid Table 5 Dark - Accent 6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deeceb" w:themeColor="accent6" w:themeTint="34" w:fill="deeceb" w:themeFill="accent6" w:themeFillTint="34"/>
    </w:tblPr>
    <w:tblStylePr w:type="band1Horz">
      <w:tcPr>
        <w:shd w:val="clear" w:color="b6d4d2" w:themeColor="accent6" w:themeTint="75" w:fill="b6d4d2" w:themeFill="accent6" w:themeFillTint="75"/>
      </w:tcPr>
    </w:tblStylePr>
    <w:tblStylePr w:type="band1Vert">
      <w:tcPr>
        <w:shd w:val="clear" w:color="b6d4d2" w:themeColor="accent6" w:themeTint="75" w:fill="b6d4d2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62a39f" w:themeColor="accent6" w:fill="62a39f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62a39f" w:themeColor="accent6" w:fill="62a39f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62a39f" w:themeColor="accent6" w:fill="62a39f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62a39f" w:themeColor="accent6" w:fill="62a39f" w:themeFill="accent6"/>
        <w:tcBorders>
          <w:top w:val="single" w:color="FFFFFF" w:themeColor="light1" w:sz="4" w:space="0"/>
        </w:tcBorders>
      </w:tcPr>
    </w:tblStylePr>
  </w:style>
  <w:style w:type="table" w:styleId="751">
    <w:name w:val="Grid Table 6 Colorful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7F7F7F" w:themeColor="text1" w:themeTint="80" w:sz="4" w:space="0"/>
        <w:left w:val="single" w:color="7F7F7F" w:themeColor="text1" w:themeTint="80" w:sz="4" w:space="0"/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b/>
        <w:color w:val="7f7f7f" w:themeColor="text1" w:themeTint="80" w:themeShade="95"/>
      </w:rPr>
    </w:tblStylePr>
    <w:tblStylePr w:type="firstRow">
      <w:rPr>
        <w:b/>
        <w:color w:val="7f7f7f" w:themeColor="text1" w:themeTint="80" w:themeShade="95"/>
      </w:rPr>
      <w:tcPr>
        <w:tcBorders>
          <w:bottom w:val="single" w:color="7F7F7F" w:themeColor="text1" w:themeTint="80" w:sz="12" w:space="0"/>
        </w:tcBorders>
      </w:tcPr>
    </w:tblStylePr>
    <w:tblStylePr w:type="lastCol">
      <w:rPr>
        <w:b/>
        <w:color w:val="7f7f7f" w:themeColor="text1" w:themeTint="80" w:themeShade="95"/>
      </w:rPr>
    </w:tblStylePr>
    <w:tblStylePr w:type="lastRow">
      <w:rPr>
        <w:b/>
        <w:color w:val="7f7f7f" w:themeColor="text1" w:themeTint="80" w:themeShade="95"/>
      </w:rPr>
    </w:tblStylePr>
  </w:style>
  <w:style w:type="table" w:styleId="752" w:customStyle="1">
    <w:name w:val="Grid Table 6 Colorful - Accent 1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8CD5F1" w:themeColor="accent1" w:themeTint="80" w:sz="4" w:space="0"/>
        <w:left w:val="single" w:color="8CD5F1" w:themeColor="accent1" w:themeTint="80" w:sz="4" w:space="0"/>
        <w:bottom w:val="single" w:color="8CD5F1" w:themeColor="accent1" w:themeTint="80" w:sz="4" w:space="0"/>
        <w:right w:val="single" w:color="8CD5F1" w:themeColor="accent1" w:themeTint="80" w:sz="4" w:space="0"/>
        <w:insideH w:val="single" w:color="8CD5F1" w:themeColor="accent1" w:themeTint="80" w:sz="4" w:space="0"/>
        <w:insideV w:val="single" w:color="8CD5F1" w:themeColor="accent1" w:themeTint="80" w:sz="4" w:space="0"/>
      </w:tblBorders>
    </w:tblPr>
    <w:tblStylePr w:type="band1Horz">
      <w:rPr>
        <w:rFonts w:ascii="Arial" w:hAnsi="Arial"/>
        <w:color w:val="8cd5f1" w:themeColor="accent1" w:themeTint="80" w:themeShade="95"/>
        <w:sz w:val="22"/>
      </w:rPr>
      <w:tcPr>
        <w:shd w:val="clear" w:color="d0eef9" w:themeColor="accent1" w:themeTint="34" w:fill="d0eef9" w:themeFill="accent1" w:themeFillTint="34"/>
      </w:tcPr>
    </w:tblStylePr>
    <w:tblStylePr w:type="band1Vert">
      <w:tcPr>
        <w:shd w:val="clear" w:color="d0eef9" w:themeColor="accent1" w:themeTint="34" w:fill="d0eef9" w:themeFill="accent1" w:themeFillTint="34"/>
      </w:tcPr>
    </w:tblStylePr>
    <w:tblStylePr w:type="band2Horz">
      <w:rPr>
        <w:rFonts w:ascii="Arial" w:hAnsi="Arial"/>
        <w:color w:val="8cd5f1" w:themeColor="accent1" w:themeTint="80" w:themeShade="95"/>
        <w:sz w:val="22"/>
      </w:rPr>
    </w:tblStylePr>
    <w:tblStylePr w:type="firstCol">
      <w:rPr>
        <w:b/>
        <w:color w:val="8cd5f1" w:themeColor="accent1" w:themeTint="80" w:themeShade="95"/>
      </w:rPr>
    </w:tblStylePr>
    <w:tblStylePr w:type="firstRow">
      <w:rPr>
        <w:b/>
        <w:color w:val="8cd5f1" w:themeColor="accent1" w:themeTint="80" w:themeShade="95"/>
      </w:rPr>
      <w:tcPr>
        <w:tcBorders>
          <w:bottom w:val="single" w:color="8CD5F1" w:themeColor="accent1" w:themeTint="80" w:sz="12" w:space="0"/>
        </w:tcBorders>
      </w:tcPr>
    </w:tblStylePr>
    <w:tblStylePr w:type="lastCol">
      <w:rPr>
        <w:b/>
        <w:color w:val="8cd5f1" w:themeColor="accent1" w:themeTint="80" w:themeShade="95"/>
      </w:rPr>
    </w:tblStylePr>
    <w:tblStylePr w:type="lastRow">
      <w:rPr>
        <w:b/>
        <w:color w:val="8cd5f1" w:themeColor="accent1" w:themeTint="80" w:themeShade="95"/>
      </w:rPr>
    </w:tblStylePr>
  </w:style>
  <w:style w:type="table" w:styleId="753" w:customStyle="1">
    <w:name w:val="Grid Table 6 Colorful - Accent 2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76B6E5" w:themeColor="accent2" w:themeTint="97" w:sz="4" w:space="0"/>
        <w:left w:val="single" w:color="76B6E5" w:themeColor="accent2" w:themeTint="97" w:sz="4" w:space="0"/>
        <w:bottom w:val="single" w:color="76B6E5" w:themeColor="accent2" w:themeTint="97" w:sz="4" w:space="0"/>
        <w:right w:val="single" w:color="76B6E5" w:themeColor="accent2" w:themeTint="97" w:sz="4" w:space="0"/>
        <w:insideH w:val="single" w:color="76B6E5" w:themeColor="accent2" w:themeTint="97" w:sz="4" w:space="0"/>
        <w:insideV w:val="single" w:color="76B6E5" w:themeColor="accent2" w:themeTint="97" w:sz="4" w:space="0"/>
      </w:tblBorders>
    </w:tblPr>
    <w:tblStylePr w:type="band1Horz">
      <w:rPr>
        <w:rFonts w:ascii="Arial" w:hAnsi="Arial"/>
        <w:color w:val="76b6e5" w:themeColor="accent2" w:themeTint="97" w:themeShade="95"/>
        <w:sz w:val="22"/>
      </w:rPr>
      <w:tcPr>
        <w:shd w:val="clear" w:color="d1e6f6" w:themeColor="accent2" w:themeTint="32" w:fill="d1e6f6" w:themeFill="accent2" w:themeFillTint="32"/>
      </w:tcPr>
    </w:tblStylePr>
    <w:tblStylePr w:type="band1Vert">
      <w:tcPr>
        <w:shd w:val="clear" w:color="d1e6f6" w:themeColor="accent2" w:themeTint="32" w:fill="d1e6f6" w:themeFill="accent2" w:themeFillTint="32"/>
      </w:tcPr>
    </w:tblStylePr>
    <w:tblStylePr w:type="band2Horz">
      <w:rPr>
        <w:rFonts w:ascii="Arial" w:hAnsi="Arial"/>
        <w:color w:val="76b6e5" w:themeColor="accent2" w:themeTint="97" w:themeShade="95"/>
        <w:sz w:val="22"/>
      </w:rPr>
    </w:tblStylePr>
    <w:tblStylePr w:type="firstCol">
      <w:rPr>
        <w:b/>
        <w:color w:val="76b6e5" w:themeColor="accent2" w:themeTint="97" w:themeShade="95"/>
      </w:rPr>
    </w:tblStylePr>
    <w:tblStylePr w:type="firstRow">
      <w:rPr>
        <w:b/>
        <w:color w:val="76b6e5" w:themeColor="accent2" w:themeTint="97" w:themeShade="95"/>
      </w:rPr>
      <w:tcPr>
        <w:tcBorders>
          <w:bottom w:val="single" w:color="76B6E5" w:themeColor="accent2" w:themeTint="97" w:sz="12" w:space="0"/>
        </w:tcBorders>
      </w:tcPr>
    </w:tblStylePr>
    <w:tblStylePr w:type="lastCol">
      <w:rPr>
        <w:b/>
        <w:color w:val="76b6e5" w:themeColor="accent2" w:themeTint="97" w:themeShade="95"/>
      </w:rPr>
    </w:tblStylePr>
    <w:tblStylePr w:type="lastRow">
      <w:rPr>
        <w:b/>
        <w:color w:val="76b6e5" w:themeColor="accent2" w:themeTint="97" w:themeShade="95"/>
      </w:rPr>
    </w:tblStylePr>
  </w:style>
  <w:style w:type="table" w:styleId="754" w:customStyle="1">
    <w:name w:val="Grid Table 6 Colorful - Accent 3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27CED7" w:themeColor="accent3" w:themeTint="FE" w:sz="4" w:space="0"/>
        <w:left w:val="single" w:color="27CED7" w:themeColor="accent3" w:themeTint="FE" w:sz="4" w:space="0"/>
        <w:bottom w:val="single" w:color="27CED7" w:themeColor="accent3" w:themeTint="FE" w:sz="4" w:space="0"/>
        <w:right w:val="single" w:color="27CED7" w:themeColor="accent3" w:themeTint="FE" w:sz="4" w:space="0"/>
        <w:insideH w:val="single" w:color="27CED7" w:themeColor="accent3" w:themeTint="FE" w:sz="4" w:space="0"/>
        <w:insideV w:val="single" w:color="27CED7" w:themeColor="accent3" w:themeTint="FE" w:sz="4" w:space="0"/>
      </w:tblBorders>
    </w:tblPr>
    <w:tblStylePr w:type="band1Horz">
      <w:rPr>
        <w:rFonts w:ascii="Arial" w:hAnsi="Arial"/>
        <w:color w:val="27ced7" w:themeColor="accent3" w:themeTint="FE" w:themeShade="95"/>
        <w:sz w:val="22"/>
      </w:rPr>
      <w:tcPr>
        <w:shd w:val="clear" w:color="d2f5f7" w:themeColor="accent3" w:themeTint="34" w:fill="d2f5f7" w:themeFill="accent3" w:themeFillTint="34"/>
      </w:tcPr>
    </w:tblStylePr>
    <w:tblStylePr w:type="band1Vert">
      <w:tcPr>
        <w:shd w:val="clear" w:color="d2f5f7" w:themeColor="accent3" w:themeTint="34" w:fill="d2f5f7" w:themeFill="accent3" w:themeFillTint="34"/>
      </w:tcPr>
    </w:tblStylePr>
    <w:tblStylePr w:type="band2Horz">
      <w:rPr>
        <w:rFonts w:ascii="Arial" w:hAnsi="Arial"/>
        <w:color w:val="27ced7" w:themeColor="accent3" w:themeTint="FE" w:themeShade="95"/>
        <w:sz w:val="22"/>
      </w:rPr>
    </w:tblStylePr>
    <w:tblStylePr w:type="firstCol">
      <w:rPr>
        <w:b/>
        <w:color w:val="27ced7" w:themeColor="accent3" w:themeTint="FE" w:themeShade="95"/>
      </w:rPr>
    </w:tblStylePr>
    <w:tblStylePr w:type="firstRow">
      <w:rPr>
        <w:b/>
        <w:color w:val="27ced7" w:themeColor="accent3" w:themeTint="FE" w:themeShade="95"/>
      </w:rPr>
      <w:tcPr>
        <w:tcBorders>
          <w:bottom w:val="single" w:color="27CED7" w:themeColor="accent3" w:themeTint="FE" w:sz="12" w:space="0"/>
        </w:tcBorders>
      </w:tcPr>
    </w:tblStylePr>
    <w:tblStylePr w:type="lastCol">
      <w:rPr>
        <w:b/>
        <w:color w:val="27ced7" w:themeColor="accent3" w:themeTint="FE" w:themeShade="95"/>
      </w:rPr>
    </w:tblStylePr>
    <w:tblStylePr w:type="lastRow">
      <w:rPr>
        <w:b/>
        <w:color w:val="27ced7" w:themeColor="accent3" w:themeTint="FE" w:themeShade="95"/>
      </w:rPr>
    </w:tblStylePr>
  </w:style>
  <w:style w:type="table" w:styleId="755" w:customStyle="1">
    <w:name w:val="Grid Table 6 Colorful - Accent 4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8BD6C0" w:themeColor="accent4" w:themeTint="9A" w:sz="4" w:space="0"/>
        <w:left w:val="single" w:color="8BD6C0" w:themeColor="accent4" w:themeTint="9A" w:sz="4" w:space="0"/>
        <w:bottom w:val="single" w:color="8BD6C0" w:themeColor="accent4" w:themeTint="9A" w:sz="4" w:space="0"/>
        <w:right w:val="single" w:color="8BD6C0" w:themeColor="accent4" w:themeTint="9A" w:sz="4" w:space="0"/>
        <w:insideH w:val="single" w:color="8BD6C0" w:themeColor="accent4" w:themeTint="9A" w:sz="4" w:space="0"/>
        <w:insideV w:val="single" w:color="8BD6C0" w:themeColor="accent4" w:themeTint="9A" w:sz="4" w:space="0"/>
      </w:tblBorders>
    </w:tblPr>
    <w:tblStylePr w:type="band1Horz">
      <w:rPr>
        <w:rFonts w:ascii="Arial" w:hAnsi="Arial"/>
        <w:color w:val="8bd6c0" w:themeColor="accent4" w:themeTint="9A" w:themeShade="95"/>
        <w:sz w:val="22"/>
      </w:rPr>
      <w:tcPr>
        <w:shd w:val="clear" w:color="d8f1e9" w:themeColor="accent4" w:themeTint="34" w:fill="d8f1e9" w:themeFill="accent4" w:themeFillTint="34"/>
      </w:tcPr>
    </w:tblStylePr>
    <w:tblStylePr w:type="band1Vert">
      <w:tcPr>
        <w:shd w:val="clear" w:color="d8f1e9" w:themeColor="accent4" w:themeTint="34" w:fill="d8f1e9" w:themeFill="accent4" w:themeFillTint="34"/>
      </w:tcPr>
    </w:tblStylePr>
    <w:tblStylePr w:type="band2Horz">
      <w:rPr>
        <w:rFonts w:ascii="Arial" w:hAnsi="Arial"/>
        <w:color w:val="8bd6c0" w:themeColor="accent4" w:themeTint="9A" w:themeShade="95"/>
        <w:sz w:val="22"/>
      </w:rPr>
    </w:tblStylePr>
    <w:tblStylePr w:type="firstCol">
      <w:rPr>
        <w:b/>
        <w:color w:val="8bd6c0" w:themeColor="accent4" w:themeTint="9A" w:themeShade="95"/>
      </w:rPr>
    </w:tblStylePr>
    <w:tblStylePr w:type="firstRow">
      <w:rPr>
        <w:b/>
        <w:color w:val="8bd6c0" w:themeColor="accent4" w:themeTint="9A" w:themeShade="95"/>
      </w:rPr>
      <w:tcPr>
        <w:tcBorders>
          <w:bottom w:val="single" w:color="8BD6C0" w:themeColor="accent4" w:themeTint="9A" w:sz="12" w:space="0"/>
        </w:tcBorders>
      </w:tcPr>
    </w:tblStylePr>
    <w:tblStylePr w:type="lastCol">
      <w:rPr>
        <w:b/>
        <w:color w:val="8bd6c0" w:themeColor="accent4" w:themeTint="9A" w:themeShade="95"/>
      </w:rPr>
    </w:tblStylePr>
    <w:tblStylePr w:type="lastRow">
      <w:rPr>
        <w:b/>
        <w:color w:val="8bd6c0" w:themeColor="accent4" w:themeTint="9A" w:themeShade="95"/>
      </w:rPr>
    </w:tblStylePr>
  </w:style>
  <w:style w:type="table" w:styleId="756" w:customStyle="1">
    <w:name w:val="Grid Table 6 Colorful - Accent 5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3E8853" w:themeColor="accent5" w:sz="4" w:space="0"/>
        <w:left w:val="single" w:color="3E8853" w:themeColor="accent5" w:sz="4" w:space="0"/>
        <w:bottom w:val="single" w:color="3E8853" w:themeColor="accent5" w:sz="4" w:space="0"/>
        <w:right w:val="single" w:color="3E8853" w:themeColor="accent5" w:sz="4" w:space="0"/>
        <w:insideH w:val="single" w:color="3E8853" w:themeColor="accent5" w:sz="4" w:space="0"/>
        <w:insideV w:val="single" w:color="3E8853" w:themeColor="accent5" w:sz="4" w:space="0"/>
      </w:tblBorders>
    </w:tblPr>
    <w:tblStylePr w:type="band1Horz">
      <w:rPr>
        <w:rFonts w:ascii="Arial" w:hAnsi="Arial"/>
        <w:color w:val="244f30" w:themeColor="accent5" w:themeShade="95"/>
        <w:sz w:val="22"/>
      </w:rPr>
      <w:tcPr>
        <w:shd w:val="clear" w:color="d3ebd9" w:themeColor="accent5" w:themeTint="34" w:fill="d3ebd9" w:themeFill="accent5" w:themeFillTint="34"/>
      </w:tcPr>
    </w:tblStylePr>
    <w:tblStylePr w:type="band1Vert">
      <w:tcPr>
        <w:shd w:val="clear" w:color="d3ebd9" w:themeColor="accent5" w:themeTint="34" w:fill="d3ebd9" w:themeFill="accent5" w:themeFillTint="34"/>
      </w:tcPr>
    </w:tblStylePr>
    <w:tblStylePr w:type="band2Horz">
      <w:rPr>
        <w:rFonts w:ascii="Arial" w:hAnsi="Arial"/>
        <w:color w:val="244f30" w:themeColor="accent5" w:themeShade="95"/>
        <w:sz w:val="22"/>
      </w:rPr>
    </w:tblStylePr>
    <w:tblStylePr w:type="firstCol">
      <w:rPr>
        <w:b/>
        <w:color w:val="244f30" w:themeColor="accent5" w:themeShade="95"/>
      </w:rPr>
    </w:tblStylePr>
    <w:tblStylePr w:type="firstRow">
      <w:rPr>
        <w:b/>
        <w:color w:val="244f30" w:themeColor="accent5" w:themeShade="95"/>
      </w:rPr>
      <w:tcPr>
        <w:tcBorders>
          <w:bottom w:val="single" w:color="3E8853" w:themeColor="accent5" w:sz="12" w:space="0"/>
        </w:tcBorders>
      </w:tcPr>
    </w:tblStylePr>
    <w:tblStylePr w:type="lastCol">
      <w:rPr>
        <w:b/>
        <w:color w:val="244f30" w:themeColor="accent5" w:themeShade="95"/>
      </w:rPr>
    </w:tblStylePr>
    <w:tblStylePr w:type="lastRow">
      <w:rPr>
        <w:b/>
        <w:color w:val="244f30" w:themeColor="accent5" w:themeShade="95"/>
      </w:rPr>
    </w:tblStylePr>
  </w:style>
  <w:style w:type="table" w:styleId="757" w:customStyle="1">
    <w:name w:val="Grid Table 6 Colorful - Accent 6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62A39F" w:themeColor="accent6" w:sz="4" w:space="0"/>
        <w:left w:val="single" w:color="62A39F" w:themeColor="accent6" w:sz="4" w:space="0"/>
        <w:bottom w:val="single" w:color="62A39F" w:themeColor="accent6" w:sz="4" w:space="0"/>
        <w:right w:val="single" w:color="62A39F" w:themeColor="accent6" w:sz="4" w:space="0"/>
        <w:insideH w:val="single" w:color="62A39F" w:themeColor="accent6" w:sz="4" w:space="0"/>
        <w:insideV w:val="single" w:color="62A39F" w:themeColor="accent6" w:sz="4" w:space="0"/>
      </w:tblBorders>
    </w:tblPr>
    <w:tblStylePr w:type="band1Horz">
      <w:rPr>
        <w:rFonts w:ascii="Arial" w:hAnsi="Arial"/>
        <w:color w:val="244f30" w:themeColor="accent5" w:themeShade="95"/>
        <w:sz w:val="22"/>
      </w:rPr>
      <w:tcPr>
        <w:shd w:val="clear" w:color="deeceb" w:themeColor="accent6" w:themeTint="34" w:fill="deeceb" w:themeFill="accent6" w:themeFillTint="34"/>
      </w:tcPr>
    </w:tblStylePr>
    <w:tblStylePr w:type="band1Vert">
      <w:tcPr>
        <w:shd w:val="clear" w:color="deeceb" w:themeColor="accent6" w:themeTint="34" w:fill="deeceb" w:themeFill="accent6" w:themeFillTint="34"/>
      </w:tcPr>
    </w:tblStylePr>
    <w:tblStylePr w:type="band2Horz">
      <w:rPr>
        <w:rFonts w:ascii="Arial" w:hAnsi="Arial"/>
        <w:color w:val="244f30" w:themeColor="accent5" w:themeShade="95"/>
        <w:sz w:val="22"/>
      </w:rPr>
    </w:tblStylePr>
    <w:tblStylePr w:type="firstCol">
      <w:rPr>
        <w:b/>
        <w:color w:val="244f30" w:themeColor="accent5" w:themeShade="95"/>
      </w:rPr>
    </w:tblStylePr>
    <w:tblStylePr w:type="firstRow">
      <w:rPr>
        <w:b/>
        <w:color w:val="244f30" w:themeColor="accent5" w:themeShade="95"/>
      </w:rPr>
      <w:tcPr>
        <w:tcBorders>
          <w:bottom w:val="single" w:color="62A39F" w:themeColor="accent6" w:sz="12" w:space="0"/>
        </w:tcBorders>
      </w:tcPr>
    </w:tblStylePr>
    <w:tblStylePr w:type="lastCol">
      <w:rPr>
        <w:b/>
        <w:color w:val="244f30" w:themeColor="accent5" w:themeShade="95"/>
      </w:rPr>
    </w:tblStylePr>
    <w:tblStylePr w:type="lastRow">
      <w:rPr>
        <w:b/>
        <w:color w:val="244f30" w:themeColor="accent5" w:themeShade="95"/>
      </w:rPr>
    </w:tblStylePr>
  </w:style>
  <w:style w:type="table" w:styleId="758">
    <w:name w:val="Grid Table 7 Colorful"/>
    <w:basedOn w:val="68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rFonts w:ascii="Arial" w:hAnsi="Arial"/>
        <w:i/>
        <w:color w:val="7f7f7f" w:themeColor="tex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7F7F7F" w:themeColor="text1" w:themeTint="80" w:sz="4" w:space="0"/>
        </w:tcBorders>
      </w:tcPr>
    </w:tblStylePr>
    <w:tblStylePr w:type="firstRow">
      <w:rPr>
        <w:rFonts w:ascii="Arial" w:hAnsi="Arial"/>
        <w:b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7F7F7F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cPr>
        <w:shd w:val="clear" w:color="ffffff" w:fill="auto"/>
        <w:tcBorders>
          <w:top w:val="none" w:color="000000" w:sz="4" w:space="0"/>
          <w:left w:val="single" w:color="7F7F7F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7F7F7F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9" w:customStyle="1">
    <w:name w:val="Grid Table 7 Colorful - Accent 1"/>
    <w:basedOn w:val="68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8CD5F1" w:themeColor="accent1" w:themeTint="80" w:sz="4" w:space="0"/>
        <w:right w:val="single" w:color="8CD5F1" w:themeColor="accent1" w:themeTint="80" w:sz="4" w:space="0"/>
        <w:insideH w:val="single" w:color="8CD5F1" w:themeColor="accent1" w:themeTint="80" w:sz="4" w:space="0"/>
        <w:insideV w:val="single" w:color="8CD5F1" w:themeColor="accent1" w:themeTint="80" w:sz="4" w:space="0"/>
      </w:tblBorders>
    </w:tblPr>
    <w:tblStylePr w:type="band1Horz">
      <w:rPr>
        <w:rFonts w:ascii="Arial" w:hAnsi="Arial"/>
        <w:color w:val="8cd5f1" w:themeColor="accent1" w:themeTint="80" w:themeShade="95"/>
        <w:sz w:val="22"/>
      </w:rPr>
      <w:tcPr>
        <w:shd w:val="clear" w:color="d0eef9" w:themeColor="accent1" w:themeTint="34" w:fill="d0eef9" w:themeFill="accent1" w:themeFillTint="34"/>
      </w:tcPr>
    </w:tblStylePr>
    <w:tblStylePr w:type="band1Vert">
      <w:tcPr>
        <w:shd w:val="clear" w:color="d0eef9" w:themeColor="accent1" w:themeTint="34" w:fill="d0eef9" w:themeFill="accent1" w:themeFillTint="34"/>
      </w:tcPr>
    </w:tblStylePr>
    <w:tblStylePr w:type="band2Horz">
      <w:rPr>
        <w:rFonts w:ascii="Arial" w:hAnsi="Arial"/>
        <w:color w:val="8cd5f1" w:themeColor="accent1" w:themeTint="80" w:themeShade="95"/>
        <w:sz w:val="22"/>
      </w:rPr>
    </w:tblStylePr>
    <w:tblStylePr w:type="firstCol">
      <w:rPr>
        <w:rFonts w:ascii="Arial" w:hAnsi="Arial"/>
        <w:i/>
        <w:color w:val="8cd5f1" w:themeColor="accen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8CD5F1" w:themeColor="accent1" w:themeTint="80" w:sz="4" w:space="0"/>
        </w:tcBorders>
      </w:tcPr>
    </w:tblStylePr>
    <w:tblStylePr w:type="firstRow">
      <w:rPr>
        <w:rFonts w:ascii="Arial" w:hAnsi="Arial"/>
        <w:b/>
        <w:color w:val="8cd5f1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8CD5F1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8cd5f1" w:themeColor="accent1" w:themeTint="80" w:themeShade="95"/>
        <w:sz w:val="22"/>
      </w:rPr>
      <w:tcPr>
        <w:shd w:val="clear" w:color="ffffff" w:fill="auto"/>
        <w:tcBorders>
          <w:top w:val="none" w:color="000000" w:sz="4" w:space="0"/>
          <w:left w:val="single" w:color="8CD5F1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8cd5f1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8CD5F1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0" w:customStyle="1">
    <w:name w:val="Grid Table 7 Colorful - Accent 2"/>
    <w:basedOn w:val="68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76B6E5" w:themeColor="accent2" w:themeTint="97" w:sz="4" w:space="0"/>
        <w:right w:val="single" w:color="76B6E5" w:themeColor="accent2" w:themeTint="97" w:sz="4" w:space="0"/>
        <w:insideH w:val="single" w:color="76B6E5" w:themeColor="accent2" w:themeTint="97" w:sz="4" w:space="0"/>
        <w:insideV w:val="single" w:color="76B6E5" w:themeColor="accent2" w:themeTint="97" w:sz="4" w:space="0"/>
      </w:tblBorders>
    </w:tblPr>
    <w:tblStylePr w:type="band1Horz">
      <w:rPr>
        <w:rFonts w:ascii="Arial" w:hAnsi="Arial"/>
        <w:color w:val="76b6e5" w:themeColor="accent2" w:themeTint="97" w:themeShade="95"/>
        <w:sz w:val="22"/>
      </w:rPr>
      <w:tcPr>
        <w:shd w:val="clear" w:color="d1e6f6" w:themeColor="accent2" w:themeTint="32" w:fill="d1e6f6" w:themeFill="accent2" w:themeFillTint="32"/>
      </w:tcPr>
    </w:tblStylePr>
    <w:tblStylePr w:type="band1Vert">
      <w:tcPr>
        <w:shd w:val="clear" w:color="d1e6f6" w:themeColor="accent2" w:themeTint="32" w:fill="d1e6f6" w:themeFill="accent2" w:themeFillTint="32"/>
      </w:tcPr>
    </w:tblStylePr>
    <w:tblStylePr w:type="band2Horz">
      <w:rPr>
        <w:rFonts w:ascii="Arial" w:hAnsi="Arial"/>
        <w:color w:val="76b6e5" w:themeColor="accent2" w:themeTint="97" w:themeShade="95"/>
        <w:sz w:val="22"/>
      </w:rPr>
    </w:tblStylePr>
    <w:tblStylePr w:type="firstCol">
      <w:rPr>
        <w:rFonts w:ascii="Arial" w:hAnsi="Arial"/>
        <w:i/>
        <w:color w:val="76b6e5" w:themeColor="accent2" w:themeTint="97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76B6E5" w:themeColor="accent2" w:themeTint="97" w:sz="4" w:space="0"/>
        </w:tcBorders>
      </w:tcPr>
    </w:tblStylePr>
    <w:tblStylePr w:type="firstRow">
      <w:rPr>
        <w:rFonts w:ascii="Arial" w:hAnsi="Arial"/>
        <w:b/>
        <w:color w:val="76b6e5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76B6E5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6b6e5" w:themeColor="accent2" w:themeTint="97" w:themeShade="95"/>
        <w:sz w:val="22"/>
      </w:rPr>
      <w:tcPr>
        <w:shd w:val="clear" w:color="ffffff" w:fill="auto"/>
        <w:tcBorders>
          <w:top w:val="none" w:color="000000" w:sz="4" w:space="0"/>
          <w:left w:val="single" w:color="76B6E5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76b6e5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76B6E5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1" w:customStyle="1">
    <w:name w:val="Grid Table 7 Colorful - Accent 3"/>
    <w:basedOn w:val="68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27CED7" w:themeColor="accent3" w:themeTint="FE" w:sz="4" w:space="0"/>
        <w:right w:val="single" w:color="27CED7" w:themeColor="accent3" w:themeTint="FE" w:sz="4" w:space="0"/>
        <w:insideH w:val="single" w:color="27CED7" w:themeColor="accent3" w:themeTint="FE" w:sz="4" w:space="0"/>
        <w:insideV w:val="single" w:color="27CED7" w:themeColor="accent3" w:themeTint="FE" w:sz="4" w:space="0"/>
      </w:tblBorders>
    </w:tblPr>
    <w:tblStylePr w:type="band1Horz">
      <w:rPr>
        <w:rFonts w:ascii="Arial" w:hAnsi="Arial"/>
        <w:color w:val="27ced7" w:themeColor="accent3" w:themeTint="FE" w:themeShade="95"/>
        <w:sz w:val="22"/>
      </w:rPr>
      <w:tcPr>
        <w:shd w:val="clear" w:color="d2f5f7" w:themeColor="accent3" w:themeTint="34" w:fill="d2f5f7" w:themeFill="accent3" w:themeFillTint="34"/>
      </w:tcPr>
    </w:tblStylePr>
    <w:tblStylePr w:type="band1Vert">
      <w:tcPr>
        <w:shd w:val="clear" w:color="d2f5f7" w:themeColor="accent3" w:themeTint="34" w:fill="d2f5f7" w:themeFill="accent3" w:themeFillTint="34"/>
      </w:tcPr>
    </w:tblStylePr>
    <w:tblStylePr w:type="band2Horz">
      <w:rPr>
        <w:rFonts w:ascii="Arial" w:hAnsi="Arial"/>
        <w:color w:val="27ced7" w:themeColor="accent3" w:themeTint="FE" w:themeShade="95"/>
        <w:sz w:val="22"/>
      </w:rPr>
    </w:tblStylePr>
    <w:tblStylePr w:type="firstCol">
      <w:rPr>
        <w:rFonts w:ascii="Arial" w:hAnsi="Arial"/>
        <w:i/>
        <w:color w:val="27ced7" w:themeColor="accent3" w:themeTint="FE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27CED7" w:themeColor="accent3" w:themeTint="FE" w:sz="4" w:space="0"/>
        </w:tcBorders>
      </w:tcPr>
    </w:tblStylePr>
    <w:tblStylePr w:type="firstRow">
      <w:rPr>
        <w:rFonts w:ascii="Arial" w:hAnsi="Arial"/>
        <w:b/>
        <w:color w:val="27ced7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27CED7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7ced7" w:themeColor="accent3" w:themeTint="FE" w:themeShade="95"/>
        <w:sz w:val="22"/>
      </w:rPr>
      <w:tcPr>
        <w:shd w:val="clear" w:color="ffffff" w:fill="auto"/>
        <w:tcBorders>
          <w:top w:val="none" w:color="000000" w:sz="4" w:space="0"/>
          <w:left w:val="single" w:color="27CED7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7ced7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27CED7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2" w:customStyle="1">
    <w:name w:val="Grid Table 7 Colorful - Accent 4"/>
    <w:basedOn w:val="68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8BD6C0" w:themeColor="accent4" w:themeTint="9A" w:sz="4" w:space="0"/>
        <w:right w:val="single" w:color="8BD6C0" w:themeColor="accent4" w:themeTint="9A" w:sz="4" w:space="0"/>
        <w:insideH w:val="single" w:color="8BD6C0" w:themeColor="accent4" w:themeTint="9A" w:sz="4" w:space="0"/>
        <w:insideV w:val="single" w:color="8BD6C0" w:themeColor="accent4" w:themeTint="9A" w:sz="4" w:space="0"/>
      </w:tblBorders>
    </w:tblPr>
    <w:tblStylePr w:type="band1Horz">
      <w:rPr>
        <w:rFonts w:ascii="Arial" w:hAnsi="Arial"/>
        <w:color w:val="8bd6c0" w:themeColor="accent4" w:themeTint="9A" w:themeShade="95"/>
        <w:sz w:val="22"/>
      </w:rPr>
      <w:tcPr>
        <w:shd w:val="clear" w:color="d8f1e9" w:themeColor="accent4" w:themeTint="34" w:fill="d8f1e9" w:themeFill="accent4" w:themeFillTint="34"/>
      </w:tcPr>
    </w:tblStylePr>
    <w:tblStylePr w:type="band1Vert">
      <w:tcPr>
        <w:shd w:val="clear" w:color="d8f1e9" w:themeColor="accent4" w:themeTint="34" w:fill="d8f1e9" w:themeFill="accent4" w:themeFillTint="34"/>
      </w:tcPr>
    </w:tblStylePr>
    <w:tblStylePr w:type="band2Horz">
      <w:rPr>
        <w:rFonts w:ascii="Arial" w:hAnsi="Arial"/>
        <w:color w:val="8bd6c0" w:themeColor="accent4" w:themeTint="9A" w:themeShade="95"/>
        <w:sz w:val="22"/>
      </w:rPr>
    </w:tblStylePr>
    <w:tblStylePr w:type="firstCol">
      <w:rPr>
        <w:rFonts w:ascii="Arial" w:hAnsi="Arial"/>
        <w:i/>
        <w:color w:val="8bd6c0" w:themeColor="accent4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8BD6C0" w:themeColor="accent4" w:themeTint="9A" w:sz="4" w:space="0"/>
        </w:tcBorders>
      </w:tcPr>
    </w:tblStylePr>
    <w:tblStylePr w:type="firstRow">
      <w:rPr>
        <w:rFonts w:ascii="Arial" w:hAnsi="Arial"/>
        <w:b/>
        <w:color w:val="8bd6c0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8BD6C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8bd6c0" w:themeColor="accent4" w:themeTint="9A" w:themeShade="95"/>
        <w:sz w:val="22"/>
      </w:rPr>
      <w:tcPr>
        <w:shd w:val="clear" w:color="ffffff" w:fill="auto"/>
        <w:tcBorders>
          <w:top w:val="none" w:color="000000" w:sz="4" w:space="0"/>
          <w:left w:val="single" w:color="8BD6C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8bd6c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8BD6C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3" w:customStyle="1">
    <w:name w:val="Grid Table 7 Colorful - Accent 5"/>
    <w:basedOn w:val="68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85C798" w:themeColor="accent5" w:themeTint="90" w:sz="4" w:space="0"/>
        <w:right w:val="single" w:color="85C798" w:themeColor="accent5" w:themeTint="90" w:sz="4" w:space="0"/>
        <w:insideH w:val="single" w:color="85C798" w:themeColor="accent5" w:themeTint="90" w:sz="4" w:space="0"/>
        <w:insideV w:val="single" w:color="85C798" w:themeColor="accent5" w:themeTint="90" w:sz="4" w:space="0"/>
      </w:tblBorders>
    </w:tblPr>
    <w:tblStylePr w:type="band1Horz">
      <w:rPr>
        <w:rFonts w:ascii="Arial" w:hAnsi="Arial"/>
        <w:color w:val="244f30" w:themeColor="accent5" w:themeShade="95"/>
        <w:sz w:val="22"/>
      </w:rPr>
      <w:tcPr>
        <w:shd w:val="clear" w:color="d3ebd9" w:themeColor="accent5" w:themeTint="34" w:fill="d3ebd9" w:themeFill="accent5" w:themeFillTint="34"/>
      </w:tcPr>
    </w:tblStylePr>
    <w:tblStylePr w:type="band1Vert">
      <w:tcPr>
        <w:shd w:val="clear" w:color="d3ebd9" w:themeColor="accent5" w:themeTint="34" w:fill="d3ebd9" w:themeFill="accent5" w:themeFillTint="34"/>
      </w:tcPr>
    </w:tblStylePr>
    <w:tblStylePr w:type="band2Horz">
      <w:rPr>
        <w:rFonts w:ascii="Arial" w:hAnsi="Arial"/>
        <w:color w:val="244f30" w:themeColor="accent5" w:themeShade="95"/>
        <w:sz w:val="22"/>
      </w:rPr>
    </w:tblStylePr>
    <w:tblStylePr w:type="firstCol">
      <w:rPr>
        <w:rFonts w:ascii="Arial" w:hAnsi="Arial"/>
        <w:i/>
        <w:color w:val="244f30" w:themeColor="accent5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85C798" w:themeColor="accent5" w:themeTint="90" w:sz="4" w:space="0"/>
        </w:tcBorders>
      </w:tcPr>
    </w:tblStylePr>
    <w:tblStylePr w:type="firstRow">
      <w:rPr>
        <w:rFonts w:ascii="Arial" w:hAnsi="Arial"/>
        <w:b/>
        <w:color w:val="244f30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85C798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44f30" w:themeColor="accent5" w:themeShade="95"/>
        <w:sz w:val="22"/>
      </w:rPr>
      <w:tcPr>
        <w:shd w:val="clear" w:color="ffffff" w:fill="auto"/>
        <w:tcBorders>
          <w:top w:val="none" w:color="000000" w:sz="4" w:space="0"/>
          <w:left w:val="single" w:color="85C798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44f30" w:themeColor="accent5" w:themeShade="95"/>
        <w:sz w:val="22"/>
      </w:rPr>
      <w:tcPr>
        <w:shd w:val="clear" w:color="ffffff" w:themeColor="light1" w:fill="ffffff" w:themeFill="light1"/>
        <w:tcBorders>
          <w:top w:val="single" w:color="85C798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4" w:customStyle="1">
    <w:name w:val="Grid Table 7 Colorful - Accent 6"/>
    <w:basedOn w:val="68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A6CBC8" w:themeColor="accent6" w:themeTint="90" w:sz="4" w:space="0"/>
        <w:right w:val="single" w:color="A6CBC8" w:themeColor="accent6" w:themeTint="90" w:sz="4" w:space="0"/>
        <w:insideH w:val="single" w:color="A6CBC8" w:themeColor="accent6" w:themeTint="90" w:sz="4" w:space="0"/>
        <w:insideV w:val="single" w:color="A6CBC8" w:themeColor="accent6" w:themeTint="90" w:sz="4" w:space="0"/>
      </w:tblBorders>
    </w:tblPr>
    <w:tblStylePr w:type="band1Horz">
      <w:rPr>
        <w:rFonts w:ascii="Arial" w:hAnsi="Arial"/>
        <w:color w:val="38605d" w:themeColor="accent6" w:themeShade="95"/>
        <w:sz w:val="22"/>
      </w:rPr>
      <w:tcPr>
        <w:shd w:val="clear" w:color="deeceb" w:themeColor="accent6" w:themeTint="34" w:fill="deeceb" w:themeFill="accent6" w:themeFillTint="34"/>
      </w:tcPr>
    </w:tblStylePr>
    <w:tblStylePr w:type="band1Vert">
      <w:tcPr>
        <w:shd w:val="clear" w:color="deeceb" w:themeColor="accent6" w:themeTint="34" w:fill="deeceb" w:themeFill="accent6" w:themeFillTint="34"/>
      </w:tcPr>
    </w:tblStylePr>
    <w:tblStylePr w:type="band2Horz">
      <w:rPr>
        <w:rFonts w:ascii="Arial" w:hAnsi="Arial"/>
        <w:color w:val="38605d" w:themeColor="accent6" w:themeShade="95"/>
        <w:sz w:val="22"/>
      </w:rPr>
    </w:tblStylePr>
    <w:tblStylePr w:type="firstCol">
      <w:rPr>
        <w:rFonts w:ascii="Arial" w:hAnsi="Arial"/>
        <w:i/>
        <w:color w:val="38605d" w:themeColor="accent6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A6CBC8" w:themeColor="accent6" w:themeTint="90" w:sz="4" w:space="0"/>
        </w:tcBorders>
      </w:tcPr>
    </w:tblStylePr>
    <w:tblStylePr w:type="firstRow">
      <w:rPr>
        <w:rFonts w:ascii="Arial" w:hAnsi="Arial"/>
        <w:b/>
        <w:color w:val="38605d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A6CBC8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8605d" w:themeColor="accent6" w:themeShade="95"/>
        <w:sz w:val="22"/>
      </w:rPr>
      <w:tcPr>
        <w:shd w:val="clear" w:color="ffffff" w:fill="auto"/>
        <w:tcBorders>
          <w:top w:val="none" w:color="000000" w:sz="4" w:space="0"/>
          <w:left w:val="single" w:color="A6CBC8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8605d" w:themeColor="accent6" w:themeShade="95"/>
        <w:sz w:val="22"/>
      </w:rPr>
      <w:tcPr>
        <w:shd w:val="clear" w:color="ffffff" w:themeColor="light1" w:fill="ffffff" w:themeFill="light1"/>
        <w:tcBorders>
          <w:top w:val="single" w:color="A6CBC8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5">
    <w:name w:val="List Table 1 Light"/>
    <w:basedOn w:val="682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6" w:customStyle="1">
    <w:name w:val="List Table 1 Light - Accent 1"/>
    <w:basedOn w:val="682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c5eaf8" w:themeColor="accent1" w:themeTint="40" w:fill="c5eaf8" w:themeFill="accent1" w:themeFillTint="40"/>
      </w:tcPr>
    </w:tblStylePr>
    <w:tblStylePr w:type="band1Vert">
      <w:tcPr>
        <w:shd w:val="clear" w:color="c5eaf8" w:themeColor="accent1" w:themeTint="40" w:fill="c5eaf8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1CADE4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1CADE4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7" w:customStyle="1">
    <w:name w:val="List Table 1 Light - Accent 2"/>
    <w:basedOn w:val="682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c5e0f4" w:themeColor="accent2" w:themeTint="40" w:fill="c5e0f4" w:themeFill="accent2" w:themeFillTint="40"/>
      </w:tcPr>
    </w:tblStylePr>
    <w:tblStylePr w:type="band1Vert">
      <w:tcPr>
        <w:shd w:val="clear" w:color="c5e0f4" w:themeColor="accent2" w:themeTint="40" w:fill="c5e0f4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2683C6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2683C6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8" w:customStyle="1">
    <w:name w:val="List Table 1 Light - Accent 3"/>
    <w:basedOn w:val="682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c8f2f5" w:themeColor="accent3" w:themeTint="40" w:fill="c8f2f5" w:themeFill="accent3" w:themeFillTint="40"/>
      </w:tcPr>
    </w:tblStylePr>
    <w:tblStylePr w:type="band1Vert">
      <w:tcPr>
        <w:shd w:val="clear" w:color="c8f2f5" w:themeColor="accent3" w:themeTint="40" w:fill="c8f2f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27CED7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27CED7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9" w:customStyle="1">
    <w:name w:val="List Table 1 Light - Accent 4"/>
    <w:basedOn w:val="682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cfeee4" w:themeColor="accent4" w:themeTint="40" w:fill="cfeee4" w:themeFill="accent4" w:themeFillTint="40"/>
      </w:tcPr>
    </w:tblStylePr>
    <w:tblStylePr w:type="band1Vert">
      <w:tcPr>
        <w:shd w:val="clear" w:color="cfeee4" w:themeColor="accent4" w:themeTint="40" w:fill="cfeee4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42BA97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42BA97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0" w:customStyle="1">
    <w:name w:val="List Table 1 Light - Accent 5"/>
    <w:basedOn w:val="682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c9e6d1" w:themeColor="accent5" w:themeTint="40" w:fill="c9e6d1" w:themeFill="accent5" w:themeFillTint="40"/>
      </w:tcPr>
    </w:tblStylePr>
    <w:tblStylePr w:type="band1Vert">
      <w:tcPr>
        <w:shd w:val="clear" w:color="c9e6d1" w:themeColor="accent5" w:themeTint="40" w:fill="c9e6d1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3E8853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3E8853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1" w:customStyle="1">
    <w:name w:val="List Table 1 Light - Accent 6"/>
    <w:basedOn w:val="682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d7e8e6" w:themeColor="accent6" w:themeTint="40" w:fill="d7e8e6" w:themeFill="accent6" w:themeFillTint="40"/>
      </w:tcPr>
    </w:tblStylePr>
    <w:tblStylePr w:type="band1Vert">
      <w:tcPr>
        <w:shd w:val="clear" w:color="d7e8e6" w:themeColor="accent6" w:themeTint="40" w:fill="d7e8e6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62A39F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62A39F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2">
    <w:name w:val="List Table 2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6F6F6F" w:themeColor="text1" w:themeTint="90" w:sz="4" w:space="0"/>
        <w:bottom w:val="single" w:color="6F6F6F" w:themeColor="text1" w:themeTint="90" w:sz="4" w:space="0"/>
        <w:insideH w:val="single" w:color="6F6F6F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6F6F6F" w:themeColor="text1" w:themeTint="90" w:sz="4" w:space="0"/>
          <w:left w:val="none" w:color="000000" w:sz="4" w:space="0"/>
          <w:bottom w:val="single" w:color="6F6F6F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6F6F6F" w:themeColor="text1" w:themeTint="90" w:sz="4" w:space="0"/>
          <w:left w:val="none" w:color="000000" w:sz="4" w:space="0"/>
          <w:bottom w:val="single" w:color="6F6F6F" w:themeColor="text1" w:themeTint="90" w:sz="4" w:space="0"/>
          <w:right w:val="none" w:color="000000" w:sz="4" w:space="0"/>
        </w:tcBorders>
      </w:tcPr>
    </w:tblStylePr>
  </w:style>
  <w:style w:type="table" w:styleId="773" w:customStyle="1">
    <w:name w:val="List Table 2 - Accent 1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7ED0EF" w:themeColor="accent1" w:themeTint="90" w:sz="4" w:space="0"/>
        <w:bottom w:val="single" w:color="7ED0EF" w:themeColor="accent1" w:themeTint="90" w:sz="4" w:space="0"/>
        <w:insideH w:val="single" w:color="7ED0EF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5eaf8" w:themeColor="accent1" w:themeTint="40" w:fill="c5eaf8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c5eaf8" w:themeColor="accent1" w:themeTint="40" w:fill="c5eaf8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7ED0EF" w:themeColor="accent1" w:themeTint="90" w:sz="4" w:space="0"/>
          <w:left w:val="none" w:color="000000" w:sz="4" w:space="0"/>
          <w:bottom w:val="single" w:color="7ED0EF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7ED0EF" w:themeColor="accent1" w:themeTint="90" w:sz="4" w:space="0"/>
          <w:left w:val="none" w:color="000000" w:sz="4" w:space="0"/>
          <w:bottom w:val="single" w:color="7ED0EF" w:themeColor="accent1" w:themeTint="90" w:sz="4" w:space="0"/>
          <w:right w:val="none" w:color="000000" w:sz="4" w:space="0"/>
        </w:tcBorders>
      </w:tcPr>
    </w:tblStylePr>
  </w:style>
  <w:style w:type="table" w:styleId="774" w:customStyle="1">
    <w:name w:val="List Table 2 - Accent 2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7CB9E6" w:themeColor="accent2" w:themeTint="90" w:sz="4" w:space="0"/>
        <w:bottom w:val="single" w:color="7CB9E6" w:themeColor="accent2" w:themeTint="90" w:sz="4" w:space="0"/>
        <w:insideH w:val="single" w:color="7CB9E6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5e0f4" w:themeColor="accent2" w:themeTint="40" w:fill="c5e0f4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c5e0f4" w:themeColor="accent2" w:themeTint="40" w:fill="c5e0f4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7CB9E6" w:themeColor="accent2" w:themeTint="90" w:sz="4" w:space="0"/>
          <w:left w:val="none" w:color="000000" w:sz="4" w:space="0"/>
          <w:bottom w:val="single" w:color="7CB9E6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7CB9E6" w:themeColor="accent2" w:themeTint="90" w:sz="4" w:space="0"/>
          <w:left w:val="none" w:color="000000" w:sz="4" w:space="0"/>
          <w:bottom w:val="single" w:color="7CB9E6" w:themeColor="accent2" w:themeTint="90" w:sz="4" w:space="0"/>
          <w:right w:val="none" w:color="000000" w:sz="4" w:space="0"/>
        </w:tcBorders>
      </w:tcPr>
    </w:tblStylePr>
  </w:style>
  <w:style w:type="table" w:styleId="775" w:customStyle="1">
    <w:name w:val="List Table 2 - Accent 3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84E3E8" w:themeColor="accent3" w:themeTint="90" w:sz="4" w:space="0"/>
        <w:bottom w:val="single" w:color="84E3E8" w:themeColor="accent3" w:themeTint="90" w:sz="4" w:space="0"/>
        <w:insideH w:val="single" w:color="84E3E8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8f2f5" w:themeColor="accent3" w:themeTint="40" w:fill="c8f2f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c8f2f5" w:themeColor="accent3" w:themeTint="40" w:fill="c8f2f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84E3E8" w:themeColor="accent3" w:themeTint="90" w:sz="4" w:space="0"/>
          <w:left w:val="none" w:color="000000" w:sz="4" w:space="0"/>
          <w:bottom w:val="single" w:color="84E3E8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84E3E8" w:themeColor="accent3" w:themeTint="90" w:sz="4" w:space="0"/>
          <w:left w:val="none" w:color="000000" w:sz="4" w:space="0"/>
          <w:bottom w:val="single" w:color="84E3E8" w:themeColor="accent3" w:themeTint="90" w:sz="4" w:space="0"/>
          <w:right w:val="none" w:color="000000" w:sz="4" w:space="0"/>
        </w:tcBorders>
      </w:tcPr>
    </w:tblStylePr>
  </w:style>
  <w:style w:type="table" w:styleId="776" w:customStyle="1">
    <w:name w:val="List Table 2 - Accent 4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93D8C4" w:themeColor="accent4" w:themeTint="90" w:sz="4" w:space="0"/>
        <w:bottom w:val="single" w:color="93D8C4" w:themeColor="accent4" w:themeTint="90" w:sz="4" w:space="0"/>
        <w:insideH w:val="single" w:color="93D8C4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feee4" w:themeColor="accent4" w:themeTint="40" w:fill="cfeee4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cfeee4" w:themeColor="accent4" w:themeTint="40" w:fill="cfeee4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93D8C4" w:themeColor="accent4" w:themeTint="90" w:sz="4" w:space="0"/>
          <w:left w:val="none" w:color="000000" w:sz="4" w:space="0"/>
          <w:bottom w:val="single" w:color="93D8C4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93D8C4" w:themeColor="accent4" w:themeTint="90" w:sz="4" w:space="0"/>
          <w:left w:val="none" w:color="000000" w:sz="4" w:space="0"/>
          <w:bottom w:val="single" w:color="93D8C4" w:themeColor="accent4" w:themeTint="90" w:sz="4" w:space="0"/>
          <w:right w:val="none" w:color="000000" w:sz="4" w:space="0"/>
        </w:tcBorders>
      </w:tcPr>
    </w:tblStylePr>
  </w:style>
  <w:style w:type="table" w:styleId="777" w:customStyle="1">
    <w:name w:val="List Table 2 - Accent 5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85C798" w:themeColor="accent5" w:themeTint="90" w:sz="4" w:space="0"/>
        <w:bottom w:val="single" w:color="85C798" w:themeColor="accent5" w:themeTint="90" w:sz="4" w:space="0"/>
        <w:insideH w:val="single" w:color="85C798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9e6d1" w:themeColor="accent5" w:themeTint="40" w:fill="c9e6d1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c9e6d1" w:themeColor="accent5" w:themeTint="40" w:fill="c9e6d1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85C798" w:themeColor="accent5" w:themeTint="90" w:sz="4" w:space="0"/>
          <w:left w:val="none" w:color="000000" w:sz="4" w:space="0"/>
          <w:bottom w:val="single" w:color="85C798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85C798" w:themeColor="accent5" w:themeTint="90" w:sz="4" w:space="0"/>
          <w:left w:val="none" w:color="000000" w:sz="4" w:space="0"/>
          <w:bottom w:val="single" w:color="85C798" w:themeColor="accent5" w:themeTint="90" w:sz="4" w:space="0"/>
          <w:right w:val="none" w:color="000000" w:sz="4" w:space="0"/>
        </w:tcBorders>
      </w:tcPr>
    </w:tblStylePr>
  </w:style>
  <w:style w:type="table" w:styleId="778" w:customStyle="1">
    <w:name w:val="List Table 2 - Accent 6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A6CBC8" w:themeColor="accent6" w:themeTint="90" w:sz="4" w:space="0"/>
        <w:bottom w:val="single" w:color="A6CBC8" w:themeColor="accent6" w:themeTint="90" w:sz="4" w:space="0"/>
        <w:insideH w:val="single" w:color="A6CBC8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7e8e6" w:themeColor="accent6" w:themeTint="40" w:fill="d7e8e6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7e8e6" w:themeColor="accent6" w:themeTint="40" w:fill="d7e8e6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A6CBC8" w:themeColor="accent6" w:themeTint="90" w:sz="4" w:space="0"/>
          <w:left w:val="none" w:color="000000" w:sz="4" w:space="0"/>
          <w:bottom w:val="single" w:color="A6CBC8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A6CBC8" w:themeColor="accent6" w:themeTint="90" w:sz="4" w:space="0"/>
          <w:left w:val="none" w:color="000000" w:sz="4" w:space="0"/>
          <w:bottom w:val="single" w:color="A6CBC8" w:themeColor="accent6" w:themeTint="90" w:sz="4" w:space="0"/>
          <w:right w:val="none" w:color="000000" w:sz="4" w:space="0"/>
        </w:tcBorders>
      </w:tcPr>
    </w:tblStylePr>
  </w:style>
  <w:style w:type="table" w:styleId="779">
    <w:name w:val="List Table 3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0" w:customStyle="1">
    <w:name w:val="List Table 3 - Accent 1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1CADE4" w:themeColor="accent1" w:sz="4" w:space="0"/>
        <w:left w:val="single" w:color="1CADE4" w:themeColor="accent1" w:sz="4" w:space="0"/>
        <w:bottom w:val="single" w:color="1CADE4" w:themeColor="accent1" w:sz="4" w:space="0"/>
        <w:right w:val="single" w:color="1CADE4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1CADE4" w:themeColor="accent1" w:sz="4" w:space="0"/>
          <w:bottom w:val="single" w:color="1CADE4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1CADE4" w:themeColor="accent1" w:sz="4" w:space="0"/>
          <w:right w:val="single" w:color="1CADE4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1cade4" w:themeColor="accent1" w:fill="1cade4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1" w:customStyle="1">
    <w:name w:val="List Table 3 - Accent 2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76B6E5" w:themeColor="accent2" w:themeTint="97" w:sz="4" w:space="0"/>
        <w:left w:val="single" w:color="76B6E5" w:themeColor="accent2" w:themeTint="97" w:sz="4" w:space="0"/>
        <w:bottom w:val="single" w:color="76B6E5" w:themeColor="accent2" w:themeTint="97" w:sz="4" w:space="0"/>
        <w:right w:val="single" w:color="76B6E5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76B6E5" w:themeColor="accent2" w:themeTint="97" w:sz="4" w:space="0"/>
          <w:bottom w:val="single" w:color="76B6E5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76B6E5" w:themeColor="accent2" w:themeTint="97" w:sz="4" w:space="0"/>
          <w:right w:val="single" w:color="76B6E5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76b6e5" w:themeColor="accent2" w:themeTint="97" w:fill="76b6e5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2" w:customStyle="1">
    <w:name w:val="List Table 3 - Accent 3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7DE1E7" w:themeColor="accent3" w:themeTint="98" w:sz="4" w:space="0"/>
        <w:left w:val="single" w:color="7DE1E7" w:themeColor="accent3" w:themeTint="98" w:sz="4" w:space="0"/>
        <w:bottom w:val="single" w:color="7DE1E7" w:themeColor="accent3" w:themeTint="98" w:sz="4" w:space="0"/>
        <w:right w:val="single" w:color="7DE1E7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7DE1E7" w:themeColor="accent3" w:themeTint="98" w:sz="4" w:space="0"/>
          <w:bottom w:val="single" w:color="7DE1E7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7DE1E7" w:themeColor="accent3" w:themeTint="98" w:sz="4" w:space="0"/>
          <w:right w:val="single" w:color="7DE1E7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7de1e7" w:themeColor="accent3" w:themeTint="98" w:fill="7de1e7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3" w:customStyle="1">
    <w:name w:val="List Table 3 - Accent 4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8BD6C0" w:themeColor="accent4" w:themeTint="9A" w:sz="4" w:space="0"/>
        <w:left w:val="single" w:color="8BD6C0" w:themeColor="accent4" w:themeTint="9A" w:sz="4" w:space="0"/>
        <w:bottom w:val="single" w:color="8BD6C0" w:themeColor="accent4" w:themeTint="9A" w:sz="4" w:space="0"/>
        <w:right w:val="single" w:color="8BD6C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8BD6C0" w:themeColor="accent4" w:themeTint="9A" w:sz="4" w:space="0"/>
          <w:bottom w:val="single" w:color="8BD6C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8BD6C0" w:themeColor="accent4" w:themeTint="9A" w:sz="4" w:space="0"/>
          <w:right w:val="single" w:color="8BD6C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8bd6c0" w:themeColor="accent4" w:themeTint="9A" w:fill="8bd6c0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4" w:customStyle="1">
    <w:name w:val="List Table 3 - Accent 5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7DC491" w:themeColor="accent5" w:themeTint="9A" w:sz="4" w:space="0"/>
        <w:left w:val="single" w:color="7DC491" w:themeColor="accent5" w:themeTint="9A" w:sz="4" w:space="0"/>
        <w:bottom w:val="single" w:color="7DC491" w:themeColor="accent5" w:themeTint="9A" w:sz="4" w:space="0"/>
        <w:right w:val="single" w:color="7DC491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7DC491" w:themeColor="accent5" w:themeTint="9A" w:sz="4" w:space="0"/>
          <w:bottom w:val="single" w:color="7DC491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7DC491" w:themeColor="accent5" w:themeTint="9A" w:sz="4" w:space="0"/>
          <w:right w:val="single" w:color="7DC491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7dc491" w:themeColor="accent5" w:themeTint="9A" w:fill="7dc491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5" w:customStyle="1">
    <w:name w:val="List Table 3 - Accent 6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A1C8C5" w:themeColor="accent6" w:themeTint="98" w:sz="4" w:space="0"/>
        <w:left w:val="single" w:color="A1C8C5" w:themeColor="accent6" w:themeTint="98" w:sz="4" w:space="0"/>
        <w:bottom w:val="single" w:color="A1C8C5" w:themeColor="accent6" w:themeTint="98" w:sz="4" w:space="0"/>
        <w:right w:val="single" w:color="A1C8C5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A1C8C5" w:themeColor="accent6" w:themeTint="98" w:sz="4" w:space="0"/>
          <w:bottom w:val="single" w:color="A1C8C5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A1C8C5" w:themeColor="accent6" w:themeTint="98" w:sz="4" w:space="0"/>
          <w:right w:val="single" w:color="A1C8C5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a1c8c5" w:themeColor="accent6" w:themeTint="98" w:fill="a1c8c5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6">
    <w:name w:val="List Table 4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7" w:customStyle="1">
    <w:name w:val="List Table 4 - Accent 1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7ED0EF" w:themeColor="accent1" w:themeTint="90" w:sz="4" w:space="0"/>
        <w:left w:val="single" w:color="7ED0EF" w:themeColor="accent1" w:themeTint="90" w:sz="4" w:space="0"/>
        <w:bottom w:val="single" w:color="7ED0EF" w:themeColor="accent1" w:themeTint="90" w:sz="4" w:space="0"/>
        <w:right w:val="single" w:color="7ED0EF" w:themeColor="accent1" w:themeTint="90" w:sz="4" w:space="0"/>
        <w:insideH w:val="single" w:color="7ED0EF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5eaf8" w:themeColor="accent1" w:themeTint="40" w:fill="c5eaf8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c5eaf8" w:themeColor="accent1" w:themeTint="40" w:fill="c5eaf8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1cade4" w:themeColor="accent1" w:fill="1cade4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8" w:customStyle="1">
    <w:name w:val="List Table 4 - Accent 2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7CB9E6" w:themeColor="accent2" w:themeTint="90" w:sz="4" w:space="0"/>
        <w:left w:val="single" w:color="7CB9E6" w:themeColor="accent2" w:themeTint="90" w:sz="4" w:space="0"/>
        <w:bottom w:val="single" w:color="7CB9E6" w:themeColor="accent2" w:themeTint="90" w:sz="4" w:space="0"/>
        <w:right w:val="single" w:color="7CB9E6" w:themeColor="accent2" w:themeTint="90" w:sz="4" w:space="0"/>
        <w:insideH w:val="single" w:color="7CB9E6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5e0f4" w:themeColor="accent2" w:themeTint="40" w:fill="c5e0f4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c5e0f4" w:themeColor="accent2" w:themeTint="40" w:fill="c5e0f4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2683c6" w:themeColor="accent2" w:fill="2683c6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9" w:customStyle="1">
    <w:name w:val="List Table 4 - Accent 3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84E3E8" w:themeColor="accent3" w:themeTint="90" w:sz="4" w:space="0"/>
        <w:left w:val="single" w:color="84E3E8" w:themeColor="accent3" w:themeTint="90" w:sz="4" w:space="0"/>
        <w:bottom w:val="single" w:color="84E3E8" w:themeColor="accent3" w:themeTint="90" w:sz="4" w:space="0"/>
        <w:right w:val="single" w:color="84E3E8" w:themeColor="accent3" w:themeTint="90" w:sz="4" w:space="0"/>
        <w:insideH w:val="single" w:color="84E3E8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8f2f5" w:themeColor="accent3" w:themeTint="40" w:fill="c8f2f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c8f2f5" w:themeColor="accent3" w:themeTint="40" w:fill="c8f2f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27ced7" w:themeColor="accent3" w:fill="27ced7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0" w:customStyle="1">
    <w:name w:val="List Table 4 - Accent 4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93D8C4" w:themeColor="accent4" w:themeTint="90" w:sz="4" w:space="0"/>
        <w:left w:val="single" w:color="93D8C4" w:themeColor="accent4" w:themeTint="90" w:sz="4" w:space="0"/>
        <w:bottom w:val="single" w:color="93D8C4" w:themeColor="accent4" w:themeTint="90" w:sz="4" w:space="0"/>
        <w:right w:val="single" w:color="93D8C4" w:themeColor="accent4" w:themeTint="90" w:sz="4" w:space="0"/>
        <w:insideH w:val="single" w:color="93D8C4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feee4" w:themeColor="accent4" w:themeTint="40" w:fill="cfeee4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cfeee4" w:themeColor="accent4" w:themeTint="40" w:fill="cfeee4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2ba97" w:themeColor="accent4" w:fill="42ba97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1" w:customStyle="1">
    <w:name w:val="List Table 4 - Accent 5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85C798" w:themeColor="accent5" w:themeTint="90" w:sz="4" w:space="0"/>
        <w:left w:val="single" w:color="85C798" w:themeColor="accent5" w:themeTint="90" w:sz="4" w:space="0"/>
        <w:bottom w:val="single" w:color="85C798" w:themeColor="accent5" w:themeTint="90" w:sz="4" w:space="0"/>
        <w:right w:val="single" w:color="85C798" w:themeColor="accent5" w:themeTint="90" w:sz="4" w:space="0"/>
        <w:insideH w:val="single" w:color="85C798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9e6d1" w:themeColor="accent5" w:themeTint="40" w:fill="c9e6d1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c9e6d1" w:themeColor="accent5" w:themeTint="40" w:fill="c9e6d1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3e8853" w:themeColor="accent5" w:fill="3e8853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2" w:customStyle="1">
    <w:name w:val="List Table 4 - Accent 6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A6CBC8" w:themeColor="accent6" w:themeTint="90" w:sz="4" w:space="0"/>
        <w:left w:val="single" w:color="A6CBC8" w:themeColor="accent6" w:themeTint="90" w:sz="4" w:space="0"/>
        <w:bottom w:val="single" w:color="A6CBC8" w:themeColor="accent6" w:themeTint="90" w:sz="4" w:space="0"/>
        <w:right w:val="single" w:color="A6CBC8" w:themeColor="accent6" w:themeTint="90" w:sz="4" w:space="0"/>
        <w:insideH w:val="single" w:color="A6CBC8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7e8e6" w:themeColor="accent6" w:themeTint="40" w:fill="d7e8e6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7e8e6" w:themeColor="accent6" w:themeTint="40" w:fill="d7e8e6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62a39f" w:themeColor="accent6" w:fill="62a39f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3">
    <w:name w:val="List Table 5 Dark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7F7F7F" w:themeColor="text1" w:themeTint="80" w:sz="32" w:space="0"/>
        <w:left w:val="single" w:color="7F7F7F" w:themeColor="text1" w:themeTint="80" w:sz="32" w:space="0"/>
        <w:bottom w:val="single" w:color="7F7F7F" w:themeColor="text1" w:themeTint="80" w:sz="32" w:space="0"/>
        <w:right w:val="single" w:color="7F7F7F" w:themeColor="text1" w:themeTint="80" w:sz="32" w:space="0"/>
      </w:tblBorders>
      <w:shd w:val="clear" w:color="7f7f7f" w:themeColor="text1" w:themeTint="80" w:fill="7f7f7f" w:themeFill="text1" w:themeFillTint="80"/>
    </w:tblPr>
    <w:tblStylePr w:type="band1Horz">
      <w:tcPr>
        <w:shd w:val="clear" w:color="7f7f7f" w:themeColor="text1" w:themeTint="80" w:fill="7f7f7f" w:themeFill="text1" w:themeFillTint="80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7f7f7f" w:themeColor="text1" w:themeTint="80" w:fill="7f7f7f" w:themeFill="text1" w:themeFillTint="80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7f7f7f" w:themeColor="text1" w:themeTint="80" w:fill="7f7f7f" w:themeFill="text1" w:themeFillTint="80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7F7F7F" w:themeColor="text1" w:themeTint="80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7f7f7f" w:themeColor="text1" w:themeTint="80" w:fill="7f7f7f" w:themeFill="text1" w:themeFillTint="80"/>
        <w:tcBorders>
          <w:top w:val="single" w:color="7F7F7F" w:themeColor="text1" w:themeTint="80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7F7F7F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794" w:customStyle="1">
    <w:name w:val="List Table 5 Dark - Accent 1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1CADE4" w:themeColor="accent1" w:sz="32" w:space="0"/>
        <w:left w:val="single" w:color="1CADE4" w:themeColor="accent1" w:sz="32" w:space="0"/>
        <w:bottom w:val="single" w:color="1CADE4" w:themeColor="accent1" w:sz="32" w:space="0"/>
        <w:right w:val="single" w:color="1CADE4" w:themeColor="accent1" w:sz="32" w:space="0"/>
      </w:tblBorders>
      <w:shd w:val="clear" w:color="1cade4" w:themeColor="accent1" w:fill="1cade4" w:themeFill="accent1"/>
    </w:tblPr>
    <w:tblStylePr w:type="band1Horz">
      <w:tcPr>
        <w:shd w:val="clear" w:color="1cade4" w:themeColor="accent1" w:fill="1cade4" w:themeFill="accent1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1cade4" w:themeColor="accent1" w:fill="1cade4" w:themeFill="accent1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1cade4" w:themeColor="accent1" w:fill="1cade4" w:themeFill="accent1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1CADE4" w:themeColor="accent1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1cade4" w:themeColor="accent1" w:fill="1cade4" w:themeFill="accent1"/>
        <w:tcBorders>
          <w:top w:val="single" w:color="1CADE4" w:themeColor="accent1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1CADE4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795" w:customStyle="1">
    <w:name w:val="List Table 5 Dark - Accent 2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76B6E5" w:themeColor="accent2" w:themeTint="97" w:sz="32" w:space="0"/>
        <w:left w:val="single" w:color="76B6E5" w:themeColor="accent2" w:themeTint="97" w:sz="32" w:space="0"/>
        <w:bottom w:val="single" w:color="76B6E5" w:themeColor="accent2" w:themeTint="97" w:sz="32" w:space="0"/>
        <w:right w:val="single" w:color="76B6E5" w:themeColor="accent2" w:themeTint="97" w:sz="32" w:space="0"/>
      </w:tblBorders>
      <w:shd w:val="clear" w:color="76b6e5" w:themeColor="accent2" w:themeTint="97" w:fill="76b6e5" w:themeFill="accent2" w:themeFillTint="97"/>
    </w:tblPr>
    <w:tblStylePr w:type="band1Horz">
      <w:tcPr>
        <w:shd w:val="clear" w:color="76b6e5" w:themeColor="accent2" w:themeTint="97" w:fill="76b6e5" w:themeFill="accent2" w:themeFillTint="97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76b6e5" w:themeColor="accent2" w:themeTint="97" w:fill="76b6e5" w:themeFill="accent2" w:themeFillTint="97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76b6e5" w:themeColor="accent2" w:themeTint="97" w:fill="76b6e5" w:themeFill="accent2" w:themeFillTint="97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76B6E5" w:themeColor="accent2" w:themeTint="97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76b6e5" w:themeColor="accent2" w:themeTint="97" w:fill="76b6e5" w:themeFill="accent2" w:themeFillTint="97"/>
        <w:tcBorders>
          <w:top w:val="single" w:color="76B6E5" w:themeColor="accent2" w:themeTint="97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76B6E5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796" w:customStyle="1">
    <w:name w:val="List Table 5 Dark - Accent 3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7DE1E7" w:themeColor="accent3" w:themeTint="98" w:sz="32" w:space="0"/>
        <w:left w:val="single" w:color="7DE1E7" w:themeColor="accent3" w:themeTint="98" w:sz="32" w:space="0"/>
        <w:bottom w:val="single" w:color="7DE1E7" w:themeColor="accent3" w:themeTint="98" w:sz="32" w:space="0"/>
        <w:right w:val="single" w:color="7DE1E7" w:themeColor="accent3" w:themeTint="98" w:sz="32" w:space="0"/>
      </w:tblBorders>
      <w:shd w:val="clear" w:color="7de1e7" w:themeColor="accent3" w:themeTint="98" w:fill="7de1e7" w:themeFill="accent3" w:themeFillTint="98"/>
    </w:tblPr>
    <w:tblStylePr w:type="band1Horz">
      <w:tcPr>
        <w:shd w:val="clear" w:color="7de1e7" w:themeColor="accent3" w:themeTint="98" w:fill="7de1e7" w:themeFill="accent3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7de1e7" w:themeColor="accent3" w:themeTint="98" w:fill="7de1e7" w:themeFill="accent3" w:themeFillTint="98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7de1e7" w:themeColor="accent3" w:themeTint="98" w:fill="7de1e7" w:themeFill="accent3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7DE1E7" w:themeColor="accent3" w:themeTint="98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7de1e7" w:themeColor="accent3" w:themeTint="98" w:fill="7de1e7" w:themeFill="accent3" w:themeFillTint="98"/>
        <w:tcBorders>
          <w:top w:val="single" w:color="7DE1E7" w:themeColor="accent3" w:themeTint="98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7DE1E7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797" w:customStyle="1">
    <w:name w:val="List Table 5 Dark - Accent 4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8BD6C0" w:themeColor="accent4" w:themeTint="9A" w:sz="32" w:space="0"/>
        <w:left w:val="single" w:color="8BD6C0" w:themeColor="accent4" w:themeTint="9A" w:sz="32" w:space="0"/>
        <w:bottom w:val="single" w:color="8BD6C0" w:themeColor="accent4" w:themeTint="9A" w:sz="32" w:space="0"/>
        <w:right w:val="single" w:color="8BD6C0" w:themeColor="accent4" w:themeTint="9A" w:sz="32" w:space="0"/>
      </w:tblBorders>
      <w:shd w:val="clear" w:color="8bd6c0" w:themeColor="accent4" w:themeTint="9A" w:fill="8bd6c0" w:themeFill="accent4" w:themeFillTint="9A"/>
    </w:tblPr>
    <w:tblStylePr w:type="band1Horz">
      <w:tcPr>
        <w:shd w:val="clear" w:color="8bd6c0" w:themeColor="accent4" w:themeTint="9A" w:fill="8bd6c0" w:themeFill="accent4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8bd6c0" w:themeColor="accent4" w:themeTint="9A" w:fill="8bd6c0" w:themeFill="accent4" w:themeFillTint="9A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8bd6c0" w:themeColor="accent4" w:themeTint="9A" w:fill="8bd6c0" w:themeFill="accent4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8BD6C0" w:themeColor="accent4" w:themeTint="9A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8bd6c0" w:themeColor="accent4" w:themeTint="9A" w:fill="8bd6c0" w:themeFill="accent4" w:themeFillTint="9A"/>
        <w:tcBorders>
          <w:top w:val="single" w:color="8BD6C0" w:themeColor="accent4" w:themeTint="9A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8BD6C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798" w:customStyle="1">
    <w:name w:val="List Table 5 Dark - Accent 5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7DC491" w:themeColor="accent5" w:themeTint="9A" w:sz="32" w:space="0"/>
        <w:left w:val="single" w:color="7DC491" w:themeColor="accent5" w:themeTint="9A" w:sz="32" w:space="0"/>
        <w:bottom w:val="single" w:color="7DC491" w:themeColor="accent5" w:themeTint="9A" w:sz="32" w:space="0"/>
        <w:right w:val="single" w:color="7DC491" w:themeColor="accent5" w:themeTint="9A" w:sz="32" w:space="0"/>
      </w:tblBorders>
      <w:shd w:val="clear" w:color="7dc491" w:themeColor="accent5" w:themeTint="9A" w:fill="7dc491" w:themeFill="accent5" w:themeFillTint="9A"/>
    </w:tblPr>
    <w:tblStylePr w:type="band1Horz">
      <w:tcPr>
        <w:shd w:val="clear" w:color="7dc491" w:themeColor="accent5" w:themeTint="9A" w:fill="7dc491" w:themeFill="accent5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7dc491" w:themeColor="accent5" w:themeTint="9A" w:fill="7dc491" w:themeFill="accent5" w:themeFillTint="9A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7dc491" w:themeColor="accent5" w:themeTint="9A" w:fill="7dc491" w:themeFill="accent5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7DC491" w:themeColor="accent5" w:themeTint="9A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7dc491" w:themeColor="accent5" w:themeTint="9A" w:fill="7dc491" w:themeFill="accent5" w:themeFillTint="9A"/>
        <w:tcBorders>
          <w:top w:val="single" w:color="7DC491" w:themeColor="accent5" w:themeTint="9A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7DC491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799" w:customStyle="1">
    <w:name w:val="List Table 5 Dark - Accent 6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A1C8C5" w:themeColor="accent6" w:themeTint="98" w:sz="32" w:space="0"/>
        <w:left w:val="single" w:color="A1C8C5" w:themeColor="accent6" w:themeTint="98" w:sz="32" w:space="0"/>
        <w:bottom w:val="single" w:color="A1C8C5" w:themeColor="accent6" w:themeTint="98" w:sz="32" w:space="0"/>
        <w:right w:val="single" w:color="A1C8C5" w:themeColor="accent6" w:themeTint="98" w:sz="32" w:space="0"/>
      </w:tblBorders>
      <w:shd w:val="clear" w:color="a1c8c5" w:themeColor="accent6" w:themeTint="98" w:fill="a1c8c5" w:themeFill="accent6" w:themeFillTint="98"/>
    </w:tblPr>
    <w:tblStylePr w:type="band1Horz">
      <w:tcPr>
        <w:shd w:val="clear" w:color="a1c8c5" w:themeColor="accent6" w:themeTint="98" w:fill="a1c8c5" w:themeFill="accent6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a1c8c5" w:themeColor="accent6" w:themeTint="98" w:fill="a1c8c5" w:themeFill="accent6" w:themeFillTint="98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a1c8c5" w:themeColor="accent6" w:themeTint="98" w:fill="a1c8c5" w:themeFill="accent6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A1C8C5" w:themeColor="accent6" w:themeTint="98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a1c8c5" w:themeColor="accent6" w:themeTint="98" w:fill="a1c8c5" w:themeFill="accent6" w:themeFillTint="98"/>
        <w:tcBorders>
          <w:top w:val="single" w:color="A1C8C5" w:themeColor="accent6" w:themeTint="98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A1C8C5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00">
    <w:name w:val="List Table 6 Colorful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7F7F7F" w:themeColor="text1" w:themeTint="80" w:sz="4" w:space="0"/>
        <w:bottom w:val="single" w:color="7F7F7F" w:themeColor="text1" w:themeTint="80" w:sz="4" w:space="0"/>
      </w:tblBorders>
    </w:tblPr>
    <w:tblStylePr w:type="band1Horz">
      <w:rPr>
        <w:rFonts w:ascii="Arial" w:hAnsi="Arial"/>
        <w:color w:val="000000" w:themeColor="text1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7F7F7F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7F7F7F" w:themeColor="text1" w:themeTint="80" w:sz="4" w:space="0"/>
        </w:tcBorders>
      </w:tcPr>
    </w:tblStylePr>
  </w:style>
  <w:style w:type="table" w:styleId="801" w:customStyle="1">
    <w:name w:val="List Table 6 Colorful - Accent 1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1CADE4" w:themeColor="accent1" w:sz="4" w:space="0"/>
        <w:bottom w:val="single" w:color="1CADE4" w:themeColor="accent1" w:sz="4" w:space="0"/>
      </w:tblBorders>
    </w:tblPr>
    <w:tblStylePr w:type="band1Horz">
      <w:rPr>
        <w:rFonts w:ascii="Arial" w:hAnsi="Arial"/>
        <w:color w:val="106485" w:themeColor="accent1" w:themeShade="95"/>
        <w:sz w:val="22"/>
      </w:rPr>
      <w:tcPr>
        <w:shd w:val="clear" w:color="c5eaf8" w:themeColor="accent1" w:themeTint="40" w:fill="c5eaf8" w:themeFill="accent1" w:themeFillTint="40"/>
      </w:tcPr>
    </w:tblStylePr>
    <w:tblStylePr w:type="band1Vert">
      <w:tcPr>
        <w:shd w:val="clear" w:color="c5eaf8" w:themeColor="accent1" w:themeTint="40" w:fill="c5eaf8" w:themeFill="accent1" w:themeFillTint="40"/>
      </w:tcPr>
    </w:tblStylePr>
    <w:tblStylePr w:type="band2Horz">
      <w:rPr>
        <w:rFonts w:ascii="Arial" w:hAnsi="Arial"/>
        <w:color w:val="106485" w:themeColor="accent1" w:themeShade="95"/>
        <w:sz w:val="22"/>
      </w:rPr>
    </w:tblStylePr>
    <w:tblStylePr w:type="firstCol">
      <w:rPr>
        <w:b/>
        <w:color w:val="106485" w:themeColor="accent1" w:themeShade="95"/>
      </w:rPr>
    </w:tblStylePr>
    <w:tblStylePr w:type="firstRow">
      <w:rPr>
        <w:b/>
        <w:color w:val="106485" w:themeColor="accent1" w:themeShade="95"/>
      </w:rPr>
      <w:tcPr>
        <w:tcBorders>
          <w:bottom w:val="single" w:color="1CADE4" w:themeColor="accent1" w:sz="4" w:space="0"/>
        </w:tcBorders>
      </w:tcPr>
    </w:tblStylePr>
    <w:tblStylePr w:type="lastCol">
      <w:rPr>
        <w:b/>
        <w:color w:val="106485" w:themeColor="accent1" w:themeShade="95"/>
      </w:rPr>
    </w:tblStylePr>
    <w:tblStylePr w:type="lastRow">
      <w:rPr>
        <w:b/>
        <w:color w:val="106485" w:themeColor="accent1" w:themeShade="95"/>
      </w:rPr>
      <w:tcPr>
        <w:tcBorders>
          <w:top w:val="single" w:color="1CADE4" w:themeColor="accent1" w:sz="4" w:space="0"/>
        </w:tcBorders>
      </w:tcPr>
    </w:tblStylePr>
  </w:style>
  <w:style w:type="table" w:styleId="802" w:customStyle="1">
    <w:name w:val="List Table 6 Colorful - Accent 2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76B6E5" w:themeColor="accent2" w:themeTint="97" w:sz="4" w:space="0"/>
        <w:bottom w:val="single" w:color="76B6E5" w:themeColor="accent2" w:themeTint="97" w:sz="4" w:space="0"/>
      </w:tblBorders>
    </w:tblPr>
    <w:tblStylePr w:type="band1Horz">
      <w:rPr>
        <w:rFonts w:ascii="Arial" w:hAnsi="Arial"/>
        <w:color w:val="76b6e5" w:themeColor="accent2" w:themeTint="97" w:themeShade="95"/>
        <w:sz w:val="22"/>
      </w:rPr>
      <w:tcPr>
        <w:shd w:val="clear" w:color="c5e0f4" w:themeColor="accent2" w:themeTint="40" w:fill="c5e0f4" w:themeFill="accent2" w:themeFillTint="40"/>
      </w:tcPr>
    </w:tblStylePr>
    <w:tblStylePr w:type="band1Vert">
      <w:tcPr>
        <w:shd w:val="clear" w:color="c5e0f4" w:themeColor="accent2" w:themeTint="40" w:fill="c5e0f4" w:themeFill="accent2" w:themeFillTint="40"/>
      </w:tcPr>
    </w:tblStylePr>
    <w:tblStylePr w:type="band2Horz">
      <w:rPr>
        <w:rFonts w:ascii="Arial" w:hAnsi="Arial"/>
        <w:color w:val="76b6e5" w:themeColor="accent2" w:themeTint="97" w:themeShade="95"/>
        <w:sz w:val="22"/>
      </w:rPr>
    </w:tblStylePr>
    <w:tblStylePr w:type="firstCol">
      <w:rPr>
        <w:b/>
        <w:color w:val="76b6e5" w:themeColor="accent2" w:themeTint="97" w:themeShade="95"/>
      </w:rPr>
    </w:tblStylePr>
    <w:tblStylePr w:type="firstRow">
      <w:rPr>
        <w:b/>
        <w:color w:val="76b6e5" w:themeColor="accent2" w:themeTint="97" w:themeShade="95"/>
      </w:rPr>
      <w:tcPr>
        <w:tcBorders>
          <w:bottom w:val="single" w:color="76B6E5" w:themeColor="accent2" w:themeTint="97" w:sz="4" w:space="0"/>
        </w:tcBorders>
      </w:tcPr>
    </w:tblStylePr>
    <w:tblStylePr w:type="lastCol">
      <w:rPr>
        <w:b/>
        <w:color w:val="76b6e5" w:themeColor="accent2" w:themeTint="97" w:themeShade="95"/>
      </w:rPr>
    </w:tblStylePr>
    <w:tblStylePr w:type="lastRow">
      <w:rPr>
        <w:b/>
        <w:color w:val="76b6e5" w:themeColor="accent2" w:themeTint="97" w:themeShade="95"/>
      </w:rPr>
      <w:tcPr>
        <w:tcBorders>
          <w:top w:val="single" w:color="76B6E5" w:themeColor="accent2" w:themeTint="97" w:sz="4" w:space="0"/>
        </w:tcBorders>
      </w:tcPr>
    </w:tblStylePr>
  </w:style>
  <w:style w:type="table" w:styleId="803" w:customStyle="1">
    <w:name w:val="List Table 6 Colorful - Accent 3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7DE1E7" w:themeColor="accent3" w:themeTint="98" w:sz="4" w:space="0"/>
        <w:bottom w:val="single" w:color="7DE1E7" w:themeColor="accent3" w:themeTint="98" w:sz="4" w:space="0"/>
      </w:tblBorders>
    </w:tblPr>
    <w:tblStylePr w:type="band1Horz">
      <w:rPr>
        <w:rFonts w:ascii="Arial" w:hAnsi="Arial"/>
        <w:color w:val="7de1e7" w:themeColor="accent3" w:themeTint="98" w:themeShade="95"/>
        <w:sz w:val="22"/>
      </w:rPr>
      <w:tcPr>
        <w:shd w:val="clear" w:color="c8f2f5" w:themeColor="accent3" w:themeTint="40" w:fill="c8f2f5" w:themeFill="accent3" w:themeFillTint="40"/>
      </w:tcPr>
    </w:tblStylePr>
    <w:tblStylePr w:type="band1Vert">
      <w:tcPr>
        <w:shd w:val="clear" w:color="c8f2f5" w:themeColor="accent3" w:themeTint="40" w:fill="c8f2f5" w:themeFill="accent3" w:themeFillTint="40"/>
      </w:tcPr>
    </w:tblStylePr>
    <w:tblStylePr w:type="band2Horz">
      <w:rPr>
        <w:rFonts w:ascii="Arial" w:hAnsi="Arial"/>
        <w:color w:val="7de1e7" w:themeColor="accent3" w:themeTint="98" w:themeShade="95"/>
        <w:sz w:val="22"/>
      </w:rPr>
    </w:tblStylePr>
    <w:tblStylePr w:type="firstCol">
      <w:rPr>
        <w:b/>
        <w:color w:val="7de1e7" w:themeColor="accent3" w:themeTint="98" w:themeShade="95"/>
      </w:rPr>
    </w:tblStylePr>
    <w:tblStylePr w:type="firstRow">
      <w:rPr>
        <w:b/>
        <w:color w:val="7de1e7" w:themeColor="accent3" w:themeTint="98" w:themeShade="95"/>
      </w:rPr>
      <w:tcPr>
        <w:tcBorders>
          <w:bottom w:val="single" w:color="7DE1E7" w:themeColor="accent3" w:themeTint="98" w:sz="4" w:space="0"/>
        </w:tcBorders>
      </w:tcPr>
    </w:tblStylePr>
    <w:tblStylePr w:type="lastCol">
      <w:rPr>
        <w:b/>
        <w:color w:val="7de1e7" w:themeColor="accent3" w:themeTint="98" w:themeShade="95"/>
      </w:rPr>
    </w:tblStylePr>
    <w:tblStylePr w:type="lastRow">
      <w:rPr>
        <w:b/>
        <w:color w:val="7de1e7" w:themeColor="accent3" w:themeTint="98" w:themeShade="95"/>
      </w:rPr>
      <w:tcPr>
        <w:tcBorders>
          <w:top w:val="single" w:color="7DE1E7" w:themeColor="accent3" w:themeTint="98" w:sz="4" w:space="0"/>
        </w:tcBorders>
      </w:tcPr>
    </w:tblStylePr>
  </w:style>
  <w:style w:type="table" w:styleId="804" w:customStyle="1">
    <w:name w:val="List Table 6 Colorful - Accent 4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8BD6C0" w:themeColor="accent4" w:themeTint="9A" w:sz="4" w:space="0"/>
        <w:bottom w:val="single" w:color="8BD6C0" w:themeColor="accent4" w:themeTint="9A" w:sz="4" w:space="0"/>
      </w:tblBorders>
    </w:tblPr>
    <w:tblStylePr w:type="band1Horz">
      <w:rPr>
        <w:rFonts w:ascii="Arial" w:hAnsi="Arial"/>
        <w:color w:val="8bd6c0" w:themeColor="accent4" w:themeTint="9A" w:themeShade="95"/>
        <w:sz w:val="22"/>
      </w:rPr>
      <w:tcPr>
        <w:shd w:val="clear" w:color="cfeee4" w:themeColor="accent4" w:themeTint="40" w:fill="cfeee4" w:themeFill="accent4" w:themeFillTint="40"/>
      </w:tcPr>
    </w:tblStylePr>
    <w:tblStylePr w:type="band1Vert">
      <w:tcPr>
        <w:shd w:val="clear" w:color="cfeee4" w:themeColor="accent4" w:themeTint="40" w:fill="cfeee4" w:themeFill="accent4" w:themeFillTint="40"/>
      </w:tcPr>
    </w:tblStylePr>
    <w:tblStylePr w:type="band2Horz">
      <w:rPr>
        <w:rFonts w:ascii="Arial" w:hAnsi="Arial"/>
        <w:color w:val="8bd6c0" w:themeColor="accent4" w:themeTint="9A" w:themeShade="95"/>
        <w:sz w:val="22"/>
      </w:rPr>
    </w:tblStylePr>
    <w:tblStylePr w:type="firstCol">
      <w:rPr>
        <w:b/>
        <w:color w:val="8bd6c0" w:themeColor="accent4" w:themeTint="9A" w:themeShade="95"/>
      </w:rPr>
    </w:tblStylePr>
    <w:tblStylePr w:type="firstRow">
      <w:rPr>
        <w:b/>
        <w:color w:val="8bd6c0" w:themeColor="accent4" w:themeTint="9A" w:themeShade="95"/>
      </w:rPr>
      <w:tcPr>
        <w:tcBorders>
          <w:bottom w:val="single" w:color="8BD6C0" w:themeColor="accent4" w:themeTint="9A" w:sz="4" w:space="0"/>
        </w:tcBorders>
      </w:tcPr>
    </w:tblStylePr>
    <w:tblStylePr w:type="lastCol">
      <w:rPr>
        <w:b/>
        <w:color w:val="8bd6c0" w:themeColor="accent4" w:themeTint="9A" w:themeShade="95"/>
      </w:rPr>
    </w:tblStylePr>
    <w:tblStylePr w:type="lastRow">
      <w:rPr>
        <w:b/>
        <w:color w:val="8bd6c0" w:themeColor="accent4" w:themeTint="9A" w:themeShade="95"/>
      </w:rPr>
      <w:tcPr>
        <w:tcBorders>
          <w:top w:val="single" w:color="8BD6C0" w:themeColor="accent4" w:themeTint="9A" w:sz="4" w:space="0"/>
        </w:tcBorders>
      </w:tcPr>
    </w:tblStylePr>
  </w:style>
  <w:style w:type="table" w:styleId="805" w:customStyle="1">
    <w:name w:val="List Table 6 Colorful - Accent 5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7DC491" w:themeColor="accent5" w:themeTint="9A" w:sz="4" w:space="0"/>
        <w:bottom w:val="single" w:color="7DC491" w:themeColor="accent5" w:themeTint="9A" w:sz="4" w:space="0"/>
      </w:tblBorders>
    </w:tblPr>
    <w:tblStylePr w:type="band1Horz">
      <w:rPr>
        <w:rFonts w:ascii="Arial" w:hAnsi="Arial"/>
        <w:color w:val="7dc491" w:themeColor="accent5" w:themeTint="9A" w:themeShade="95"/>
        <w:sz w:val="22"/>
      </w:rPr>
      <w:tcPr>
        <w:shd w:val="clear" w:color="c9e6d1" w:themeColor="accent5" w:themeTint="40" w:fill="c9e6d1" w:themeFill="accent5" w:themeFillTint="40"/>
      </w:tcPr>
    </w:tblStylePr>
    <w:tblStylePr w:type="band1Vert">
      <w:tcPr>
        <w:shd w:val="clear" w:color="c9e6d1" w:themeColor="accent5" w:themeTint="40" w:fill="c9e6d1" w:themeFill="accent5" w:themeFillTint="40"/>
      </w:tcPr>
    </w:tblStylePr>
    <w:tblStylePr w:type="band2Horz">
      <w:rPr>
        <w:rFonts w:ascii="Arial" w:hAnsi="Arial"/>
        <w:color w:val="7dc491" w:themeColor="accent5" w:themeTint="9A" w:themeShade="95"/>
        <w:sz w:val="22"/>
      </w:rPr>
    </w:tblStylePr>
    <w:tblStylePr w:type="firstCol">
      <w:rPr>
        <w:b/>
        <w:color w:val="7dc491" w:themeColor="accent5" w:themeTint="9A" w:themeShade="95"/>
      </w:rPr>
    </w:tblStylePr>
    <w:tblStylePr w:type="firstRow">
      <w:rPr>
        <w:b/>
        <w:color w:val="7dc491" w:themeColor="accent5" w:themeTint="9A" w:themeShade="95"/>
      </w:rPr>
      <w:tcPr>
        <w:tcBorders>
          <w:bottom w:val="single" w:color="7DC491" w:themeColor="accent5" w:themeTint="9A" w:sz="4" w:space="0"/>
        </w:tcBorders>
      </w:tcPr>
    </w:tblStylePr>
    <w:tblStylePr w:type="lastCol">
      <w:rPr>
        <w:b/>
        <w:color w:val="7dc491" w:themeColor="accent5" w:themeTint="9A" w:themeShade="95"/>
      </w:rPr>
    </w:tblStylePr>
    <w:tblStylePr w:type="lastRow">
      <w:rPr>
        <w:b/>
        <w:color w:val="7dc491" w:themeColor="accent5" w:themeTint="9A" w:themeShade="95"/>
      </w:rPr>
      <w:tcPr>
        <w:tcBorders>
          <w:top w:val="single" w:color="7DC491" w:themeColor="accent5" w:themeTint="9A" w:sz="4" w:space="0"/>
        </w:tcBorders>
      </w:tcPr>
    </w:tblStylePr>
  </w:style>
  <w:style w:type="table" w:styleId="806" w:customStyle="1">
    <w:name w:val="List Table 6 Colorful - Accent 6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A1C8C5" w:themeColor="accent6" w:themeTint="98" w:sz="4" w:space="0"/>
        <w:bottom w:val="single" w:color="A1C8C5" w:themeColor="accent6" w:themeTint="98" w:sz="4" w:space="0"/>
      </w:tblBorders>
    </w:tblPr>
    <w:tblStylePr w:type="band1Horz">
      <w:rPr>
        <w:rFonts w:ascii="Arial" w:hAnsi="Arial"/>
        <w:color w:val="a1c8c5" w:themeColor="accent6" w:themeTint="98" w:themeShade="95"/>
        <w:sz w:val="22"/>
      </w:rPr>
      <w:tcPr>
        <w:shd w:val="clear" w:color="d7e8e6" w:themeColor="accent6" w:themeTint="40" w:fill="d7e8e6" w:themeFill="accent6" w:themeFillTint="40"/>
      </w:tcPr>
    </w:tblStylePr>
    <w:tblStylePr w:type="band1Vert">
      <w:tcPr>
        <w:shd w:val="clear" w:color="d7e8e6" w:themeColor="accent6" w:themeTint="40" w:fill="d7e8e6" w:themeFill="accent6" w:themeFillTint="40"/>
      </w:tcPr>
    </w:tblStylePr>
    <w:tblStylePr w:type="band2Horz">
      <w:rPr>
        <w:rFonts w:ascii="Arial" w:hAnsi="Arial"/>
        <w:color w:val="a1c8c5" w:themeColor="accent6" w:themeTint="98" w:themeShade="95"/>
        <w:sz w:val="22"/>
      </w:rPr>
    </w:tblStylePr>
    <w:tblStylePr w:type="firstCol">
      <w:rPr>
        <w:b/>
        <w:color w:val="a1c8c5" w:themeColor="accent6" w:themeTint="98" w:themeShade="95"/>
      </w:rPr>
    </w:tblStylePr>
    <w:tblStylePr w:type="firstRow">
      <w:rPr>
        <w:b/>
        <w:color w:val="a1c8c5" w:themeColor="accent6" w:themeTint="98" w:themeShade="95"/>
      </w:rPr>
      <w:tcPr>
        <w:tcBorders>
          <w:bottom w:val="single" w:color="A1C8C5" w:themeColor="accent6" w:themeTint="98" w:sz="4" w:space="0"/>
        </w:tcBorders>
      </w:tcPr>
    </w:tblStylePr>
    <w:tblStylePr w:type="lastCol">
      <w:rPr>
        <w:b/>
        <w:color w:val="a1c8c5" w:themeColor="accent6" w:themeTint="98" w:themeShade="95"/>
      </w:rPr>
    </w:tblStylePr>
    <w:tblStylePr w:type="lastRow">
      <w:rPr>
        <w:b/>
        <w:color w:val="a1c8c5" w:themeColor="accent6" w:themeTint="98" w:themeShade="95"/>
      </w:rPr>
      <w:tcPr>
        <w:tcBorders>
          <w:top w:val="single" w:color="A1C8C5" w:themeColor="accent6" w:themeTint="98" w:sz="4" w:space="0"/>
        </w:tcBorders>
      </w:tcPr>
    </w:tblStylePr>
  </w:style>
  <w:style w:type="table" w:styleId="807">
    <w:name w:val="List Table 7 Colorful"/>
    <w:basedOn w:val="682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7F7F7F" w:themeColor="text1" w:themeTint="80" w:sz="4" w:space="0"/>
      </w:tblBorders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rFonts w:ascii="Arial" w:hAnsi="Arial"/>
        <w:i/>
        <w:color w:val="7f7f7f" w:themeColor="tex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7F7F7F" w:themeColor="text1" w:themeTint="80" w:sz="4" w:space="0"/>
        </w:tcBorders>
      </w:tcPr>
    </w:tblStylePr>
    <w:tblStylePr w:type="firstRow">
      <w:rPr>
        <w:rFonts w:ascii="Arial" w:hAnsi="Arial"/>
        <w:i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7F7F7F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cPr>
        <w:shd w:val="clear" w:color="ffffff" w:fill="auto"/>
        <w:tcBorders>
          <w:top w:val="none" w:color="000000" w:sz="4" w:space="0"/>
          <w:left w:val="single" w:color="7F7F7F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7F7F7F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8" w:customStyle="1">
    <w:name w:val="List Table 7 Colorful - Accent 1"/>
    <w:basedOn w:val="682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1CADE4" w:themeColor="accent1" w:sz="4" w:space="0"/>
      </w:tblBorders>
    </w:tblPr>
    <w:tblStylePr w:type="band1Horz">
      <w:rPr>
        <w:rFonts w:ascii="Arial" w:hAnsi="Arial"/>
        <w:color w:val="106485" w:themeColor="accent1" w:themeShade="95"/>
        <w:sz w:val="22"/>
      </w:rPr>
      <w:tcPr>
        <w:shd w:val="clear" w:color="c5eaf8" w:themeColor="accent1" w:themeTint="40" w:fill="c5eaf8" w:themeFill="accent1" w:themeFillTint="40"/>
      </w:tcPr>
    </w:tblStylePr>
    <w:tblStylePr w:type="band1Vert">
      <w:tcPr>
        <w:shd w:val="clear" w:color="c5eaf8" w:themeColor="accent1" w:themeTint="40" w:fill="c5eaf8" w:themeFill="accent1" w:themeFillTint="40"/>
      </w:tcPr>
    </w:tblStylePr>
    <w:tblStylePr w:type="band2Horz">
      <w:rPr>
        <w:rFonts w:ascii="Arial" w:hAnsi="Arial"/>
        <w:color w:val="106485" w:themeColor="accent1" w:themeShade="95"/>
        <w:sz w:val="22"/>
      </w:rPr>
    </w:tblStylePr>
    <w:tblStylePr w:type="firstCol">
      <w:rPr>
        <w:rFonts w:ascii="Arial" w:hAnsi="Arial"/>
        <w:i/>
        <w:color w:val="106485" w:themeColor="accent1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1CADE4" w:themeColor="accent1" w:sz="4" w:space="0"/>
        </w:tcBorders>
      </w:tcPr>
    </w:tblStylePr>
    <w:tblStylePr w:type="firstRow">
      <w:rPr>
        <w:rFonts w:ascii="Arial" w:hAnsi="Arial"/>
        <w:i/>
        <w:color w:val="106485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1CADE4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106485" w:themeColor="accent1" w:themeShade="95"/>
        <w:sz w:val="22"/>
      </w:rPr>
      <w:tcPr>
        <w:shd w:val="clear" w:color="ffffff" w:fill="auto"/>
        <w:tcBorders>
          <w:top w:val="none" w:color="000000" w:sz="4" w:space="0"/>
          <w:left w:val="single" w:color="1CADE4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106485" w:themeColor="accent1" w:themeShade="95"/>
        <w:sz w:val="22"/>
      </w:rPr>
      <w:tcPr>
        <w:shd w:val="clear" w:color="ffffff" w:themeColor="light1" w:fill="ffffff" w:themeFill="light1"/>
        <w:tcBorders>
          <w:top w:val="single" w:color="1CADE4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9" w:customStyle="1">
    <w:name w:val="List Table 7 Colorful - Accent 2"/>
    <w:basedOn w:val="682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76B6E5" w:themeColor="accent2" w:themeTint="97" w:sz="4" w:space="0"/>
      </w:tblBorders>
    </w:tblPr>
    <w:tblStylePr w:type="band1Horz">
      <w:rPr>
        <w:rFonts w:ascii="Arial" w:hAnsi="Arial"/>
        <w:color w:val="76b6e5" w:themeColor="accent2" w:themeTint="97" w:themeShade="95"/>
        <w:sz w:val="22"/>
      </w:rPr>
      <w:tcPr>
        <w:shd w:val="clear" w:color="c5e0f4" w:themeColor="accent2" w:themeTint="40" w:fill="c5e0f4" w:themeFill="accent2" w:themeFillTint="40"/>
      </w:tcPr>
    </w:tblStylePr>
    <w:tblStylePr w:type="band1Vert">
      <w:tcPr>
        <w:shd w:val="clear" w:color="c5e0f4" w:themeColor="accent2" w:themeTint="40" w:fill="c5e0f4" w:themeFill="accent2" w:themeFillTint="40"/>
      </w:tcPr>
    </w:tblStylePr>
    <w:tblStylePr w:type="band2Horz">
      <w:rPr>
        <w:rFonts w:ascii="Arial" w:hAnsi="Arial"/>
        <w:color w:val="76b6e5" w:themeColor="accent2" w:themeTint="97" w:themeShade="95"/>
        <w:sz w:val="22"/>
      </w:rPr>
    </w:tblStylePr>
    <w:tblStylePr w:type="firstCol">
      <w:rPr>
        <w:rFonts w:ascii="Arial" w:hAnsi="Arial"/>
        <w:i/>
        <w:color w:val="76b6e5" w:themeColor="accent2" w:themeTint="97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76B6E5" w:themeColor="accent2" w:themeTint="97" w:sz="4" w:space="0"/>
        </w:tcBorders>
      </w:tcPr>
    </w:tblStylePr>
    <w:tblStylePr w:type="firstRow">
      <w:rPr>
        <w:rFonts w:ascii="Arial" w:hAnsi="Arial"/>
        <w:i/>
        <w:color w:val="76b6e5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76B6E5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6b6e5" w:themeColor="accent2" w:themeTint="97" w:themeShade="95"/>
        <w:sz w:val="22"/>
      </w:rPr>
      <w:tcPr>
        <w:shd w:val="clear" w:color="ffffff" w:fill="auto"/>
        <w:tcBorders>
          <w:top w:val="none" w:color="000000" w:sz="4" w:space="0"/>
          <w:left w:val="single" w:color="76B6E5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6b6e5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76B6E5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0" w:customStyle="1">
    <w:name w:val="List Table 7 Colorful - Accent 3"/>
    <w:basedOn w:val="682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7DE1E7" w:themeColor="accent3" w:themeTint="98" w:sz="4" w:space="0"/>
      </w:tblBorders>
    </w:tblPr>
    <w:tblStylePr w:type="band1Horz">
      <w:rPr>
        <w:rFonts w:ascii="Arial" w:hAnsi="Arial"/>
        <w:color w:val="7de1e7" w:themeColor="accent3" w:themeTint="98" w:themeShade="95"/>
        <w:sz w:val="22"/>
      </w:rPr>
      <w:tcPr>
        <w:shd w:val="clear" w:color="c8f2f5" w:themeColor="accent3" w:themeTint="40" w:fill="c8f2f5" w:themeFill="accent3" w:themeFillTint="40"/>
      </w:tcPr>
    </w:tblStylePr>
    <w:tblStylePr w:type="band1Vert">
      <w:tcPr>
        <w:shd w:val="clear" w:color="c8f2f5" w:themeColor="accent3" w:themeTint="40" w:fill="c8f2f5" w:themeFill="accent3" w:themeFillTint="40"/>
      </w:tcPr>
    </w:tblStylePr>
    <w:tblStylePr w:type="band2Horz">
      <w:rPr>
        <w:rFonts w:ascii="Arial" w:hAnsi="Arial"/>
        <w:color w:val="7de1e7" w:themeColor="accent3" w:themeTint="98" w:themeShade="95"/>
        <w:sz w:val="22"/>
      </w:rPr>
    </w:tblStylePr>
    <w:tblStylePr w:type="firstCol">
      <w:rPr>
        <w:rFonts w:ascii="Arial" w:hAnsi="Arial"/>
        <w:i/>
        <w:color w:val="7de1e7" w:themeColor="accent3" w:themeTint="98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7DE1E7" w:themeColor="accent3" w:themeTint="98" w:sz="4" w:space="0"/>
        </w:tcBorders>
      </w:tcPr>
    </w:tblStylePr>
    <w:tblStylePr w:type="firstRow">
      <w:rPr>
        <w:rFonts w:ascii="Arial" w:hAnsi="Arial"/>
        <w:i/>
        <w:color w:val="7de1e7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7DE1E7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de1e7" w:themeColor="accent3" w:themeTint="98" w:themeShade="95"/>
        <w:sz w:val="22"/>
      </w:rPr>
      <w:tcPr>
        <w:shd w:val="clear" w:color="ffffff" w:fill="auto"/>
        <w:tcBorders>
          <w:top w:val="none" w:color="000000" w:sz="4" w:space="0"/>
          <w:left w:val="single" w:color="7DE1E7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de1e7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7DE1E7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1" w:customStyle="1">
    <w:name w:val="List Table 7 Colorful - Accent 4"/>
    <w:basedOn w:val="682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8BD6C0" w:themeColor="accent4" w:themeTint="9A" w:sz="4" w:space="0"/>
      </w:tblBorders>
    </w:tblPr>
    <w:tblStylePr w:type="band1Horz">
      <w:rPr>
        <w:rFonts w:ascii="Arial" w:hAnsi="Arial"/>
        <w:color w:val="8bd6c0" w:themeColor="accent4" w:themeTint="9A" w:themeShade="95"/>
        <w:sz w:val="22"/>
      </w:rPr>
      <w:tcPr>
        <w:shd w:val="clear" w:color="cfeee4" w:themeColor="accent4" w:themeTint="40" w:fill="cfeee4" w:themeFill="accent4" w:themeFillTint="40"/>
      </w:tcPr>
    </w:tblStylePr>
    <w:tblStylePr w:type="band1Vert">
      <w:tcPr>
        <w:shd w:val="clear" w:color="cfeee4" w:themeColor="accent4" w:themeTint="40" w:fill="cfeee4" w:themeFill="accent4" w:themeFillTint="40"/>
      </w:tcPr>
    </w:tblStylePr>
    <w:tblStylePr w:type="band2Horz">
      <w:rPr>
        <w:rFonts w:ascii="Arial" w:hAnsi="Arial"/>
        <w:color w:val="8bd6c0" w:themeColor="accent4" w:themeTint="9A" w:themeShade="95"/>
        <w:sz w:val="22"/>
      </w:rPr>
    </w:tblStylePr>
    <w:tblStylePr w:type="firstCol">
      <w:rPr>
        <w:rFonts w:ascii="Arial" w:hAnsi="Arial"/>
        <w:i/>
        <w:color w:val="8bd6c0" w:themeColor="accent4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8BD6C0" w:themeColor="accent4" w:themeTint="9A" w:sz="4" w:space="0"/>
        </w:tcBorders>
      </w:tcPr>
    </w:tblStylePr>
    <w:tblStylePr w:type="firstRow">
      <w:rPr>
        <w:rFonts w:ascii="Arial" w:hAnsi="Arial"/>
        <w:i/>
        <w:color w:val="8bd6c0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8BD6C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8bd6c0" w:themeColor="accent4" w:themeTint="9A" w:themeShade="95"/>
        <w:sz w:val="22"/>
      </w:rPr>
      <w:tcPr>
        <w:shd w:val="clear" w:color="ffffff" w:fill="auto"/>
        <w:tcBorders>
          <w:top w:val="none" w:color="000000" w:sz="4" w:space="0"/>
          <w:left w:val="single" w:color="8BD6C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8bd6c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8BD6C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2" w:customStyle="1">
    <w:name w:val="List Table 7 Colorful - Accent 5"/>
    <w:basedOn w:val="682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7DC491" w:themeColor="accent5" w:themeTint="9A" w:sz="4" w:space="0"/>
      </w:tblBorders>
    </w:tblPr>
    <w:tblStylePr w:type="band1Horz">
      <w:rPr>
        <w:rFonts w:ascii="Arial" w:hAnsi="Arial"/>
        <w:color w:val="7dc491" w:themeColor="accent5" w:themeTint="9A" w:themeShade="95"/>
        <w:sz w:val="22"/>
      </w:rPr>
      <w:tcPr>
        <w:shd w:val="clear" w:color="c9e6d1" w:themeColor="accent5" w:themeTint="40" w:fill="c9e6d1" w:themeFill="accent5" w:themeFillTint="40"/>
      </w:tcPr>
    </w:tblStylePr>
    <w:tblStylePr w:type="band1Vert">
      <w:tcPr>
        <w:shd w:val="clear" w:color="c9e6d1" w:themeColor="accent5" w:themeTint="40" w:fill="c9e6d1" w:themeFill="accent5" w:themeFillTint="40"/>
      </w:tcPr>
    </w:tblStylePr>
    <w:tblStylePr w:type="band2Horz">
      <w:rPr>
        <w:rFonts w:ascii="Arial" w:hAnsi="Arial"/>
        <w:color w:val="7dc491" w:themeColor="accent5" w:themeTint="9A" w:themeShade="95"/>
        <w:sz w:val="22"/>
      </w:rPr>
    </w:tblStylePr>
    <w:tblStylePr w:type="firstCol">
      <w:rPr>
        <w:rFonts w:ascii="Arial" w:hAnsi="Arial"/>
        <w:i/>
        <w:color w:val="7dc491" w:themeColor="accent5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7DC491" w:themeColor="accent5" w:themeTint="9A" w:sz="4" w:space="0"/>
        </w:tcBorders>
      </w:tcPr>
    </w:tblStylePr>
    <w:tblStylePr w:type="firstRow">
      <w:rPr>
        <w:rFonts w:ascii="Arial" w:hAnsi="Arial"/>
        <w:i/>
        <w:color w:val="7dc491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7DC491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dc491" w:themeColor="accent5" w:themeTint="9A" w:themeShade="95"/>
        <w:sz w:val="22"/>
      </w:rPr>
      <w:tcPr>
        <w:shd w:val="clear" w:color="ffffff" w:fill="auto"/>
        <w:tcBorders>
          <w:top w:val="none" w:color="000000" w:sz="4" w:space="0"/>
          <w:left w:val="single" w:color="7DC491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dc491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7DC491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3" w:customStyle="1">
    <w:name w:val="List Table 7 Colorful - Accent 6"/>
    <w:basedOn w:val="682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A1C8C5" w:themeColor="accent6" w:themeTint="98" w:sz="4" w:space="0"/>
      </w:tblBorders>
    </w:tblPr>
    <w:tblStylePr w:type="band1Horz">
      <w:rPr>
        <w:rFonts w:ascii="Arial" w:hAnsi="Arial"/>
        <w:color w:val="a1c8c5" w:themeColor="accent6" w:themeTint="98" w:themeShade="95"/>
        <w:sz w:val="22"/>
      </w:rPr>
      <w:tcPr>
        <w:shd w:val="clear" w:color="d7e8e6" w:themeColor="accent6" w:themeTint="40" w:fill="d7e8e6" w:themeFill="accent6" w:themeFillTint="40"/>
      </w:tcPr>
    </w:tblStylePr>
    <w:tblStylePr w:type="band1Vert">
      <w:tcPr>
        <w:shd w:val="clear" w:color="d7e8e6" w:themeColor="accent6" w:themeTint="40" w:fill="d7e8e6" w:themeFill="accent6" w:themeFillTint="40"/>
      </w:tcPr>
    </w:tblStylePr>
    <w:tblStylePr w:type="band2Horz">
      <w:rPr>
        <w:rFonts w:ascii="Arial" w:hAnsi="Arial"/>
        <w:color w:val="a1c8c5" w:themeColor="accent6" w:themeTint="98" w:themeShade="95"/>
        <w:sz w:val="22"/>
      </w:rPr>
    </w:tblStylePr>
    <w:tblStylePr w:type="firstCol">
      <w:rPr>
        <w:rFonts w:ascii="Arial" w:hAnsi="Arial"/>
        <w:i/>
        <w:color w:val="a1c8c5" w:themeColor="accent6" w:themeTint="98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A1C8C5" w:themeColor="accent6" w:themeTint="98" w:sz="4" w:space="0"/>
        </w:tcBorders>
      </w:tcPr>
    </w:tblStylePr>
    <w:tblStylePr w:type="firstRow">
      <w:rPr>
        <w:rFonts w:ascii="Arial" w:hAnsi="Arial"/>
        <w:i/>
        <w:color w:val="a1c8c5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A1C8C5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a1c8c5" w:themeColor="accent6" w:themeTint="98" w:themeShade="95"/>
        <w:sz w:val="22"/>
      </w:rPr>
      <w:tcPr>
        <w:shd w:val="clear" w:color="ffffff" w:fill="auto"/>
        <w:tcBorders>
          <w:top w:val="none" w:color="000000" w:sz="4" w:space="0"/>
          <w:left w:val="single" w:color="A1C8C5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a1c8c5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A1C8C5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4" w:customStyle="1">
    <w:name w:val="Lined - Accent"/>
    <w:basedOn w:val="682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</w:style>
  <w:style w:type="table" w:styleId="815" w:customStyle="1">
    <w:name w:val="Lined - Accent 1"/>
    <w:basedOn w:val="682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b7e4f6" w:themeColor="accent1" w:themeTint="50" w:fill="b7e4f6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b7e4f6" w:themeColor="accent1" w:themeTint="50" w:fill="b7e4f6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2eb3e6" w:themeColor="accent1" w:themeTint="EA" w:fill="2eb3e6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2eb3e6" w:themeColor="accent1" w:themeTint="EA" w:fill="2eb3e6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2eb3e6" w:themeColor="accent1" w:themeTint="EA" w:fill="2eb3e6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2eb3e6" w:themeColor="accent1" w:themeTint="EA" w:fill="2eb3e6" w:themeFill="accent1" w:themeFillTint="EA"/>
      </w:tcPr>
    </w:tblStylePr>
  </w:style>
  <w:style w:type="table" w:styleId="816" w:customStyle="1">
    <w:name w:val="Lined - Accent 2"/>
    <w:basedOn w:val="682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d1e6f6" w:themeColor="accent2" w:themeTint="32" w:fill="d1e6f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d1e6f6" w:themeColor="accent2" w:themeTint="32" w:fill="d1e6f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76b6e5" w:themeColor="accent2" w:themeTint="97" w:fill="76b6e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76b6e5" w:themeColor="accent2" w:themeTint="97" w:fill="76b6e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76b6e5" w:themeColor="accent2" w:themeTint="97" w:fill="76b6e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76b6e5" w:themeColor="accent2" w:themeTint="97" w:fill="76b6e5" w:themeFill="accent2" w:themeFillTint="97"/>
      </w:tcPr>
    </w:tblStylePr>
  </w:style>
  <w:style w:type="table" w:styleId="817" w:customStyle="1">
    <w:name w:val="Lined - Accent 3"/>
    <w:basedOn w:val="682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d2f5f7" w:themeColor="accent3" w:themeTint="34" w:fill="d2f5f7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d2f5f7" w:themeColor="accent3" w:themeTint="34" w:fill="d2f5f7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27ced7" w:themeColor="accent3" w:themeTint="FE" w:fill="27ced7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27ced7" w:themeColor="accent3" w:themeTint="FE" w:fill="27ced7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27ced7" w:themeColor="accent3" w:themeTint="FE" w:fill="27ced7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27ced7" w:themeColor="accent3" w:themeTint="FE" w:fill="27ced7" w:themeFill="accent3" w:themeFillTint="FE"/>
      </w:tcPr>
    </w:tblStylePr>
  </w:style>
  <w:style w:type="table" w:styleId="818" w:customStyle="1">
    <w:name w:val="Lined - Accent 4"/>
    <w:basedOn w:val="682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d8f1e9" w:themeColor="accent4" w:themeTint="34" w:fill="d8f1e9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d8f1e9" w:themeColor="accent4" w:themeTint="34" w:fill="d8f1e9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8bd6c0" w:themeColor="accent4" w:themeTint="9A" w:fill="8bd6c0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8bd6c0" w:themeColor="accent4" w:themeTint="9A" w:fill="8bd6c0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8bd6c0" w:themeColor="accent4" w:themeTint="9A" w:fill="8bd6c0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8bd6c0" w:themeColor="accent4" w:themeTint="9A" w:fill="8bd6c0" w:themeFill="accent4" w:themeFillTint="9A"/>
      </w:tcPr>
    </w:tblStylePr>
  </w:style>
  <w:style w:type="table" w:styleId="819" w:customStyle="1">
    <w:name w:val="Lined - Accent 5"/>
    <w:basedOn w:val="682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d3ebd9" w:themeColor="accent5" w:themeTint="34" w:fill="d3ebd9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d3ebd9" w:themeColor="accent5" w:themeTint="34" w:fill="d3ebd9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3e8853" w:themeColor="accent5" w:fill="3e8853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3e8853" w:themeColor="accent5" w:fill="3e8853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3e8853" w:themeColor="accent5" w:fill="3e8853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3e8853" w:themeColor="accent5" w:fill="3e8853" w:themeFill="accent5"/>
      </w:tcPr>
    </w:tblStylePr>
  </w:style>
  <w:style w:type="table" w:styleId="820" w:customStyle="1">
    <w:name w:val="Lined - Accent 6"/>
    <w:basedOn w:val="682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deeceb" w:themeColor="accent6" w:themeTint="34" w:fill="deeceb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deeceb" w:themeColor="accent6" w:themeTint="34" w:fill="deeceb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62a39f" w:themeColor="accent6" w:fill="62a39f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62a39f" w:themeColor="accent6" w:fill="62a39f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62a39f" w:themeColor="accent6" w:fill="62a39f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62a39f" w:themeColor="accent6" w:fill="62a39f" w:themeFill="accent6"/>
      </w:tcPr>
    </w:tblStylePr>
  </w:style>
  <w:style w:type="table" w:styleId="821" w:customStyle="1">
    <w:name w:val="Bordered &amp; Lined - Accent"/>
    <w:basedOn w:val="682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595959" w:themeColor="text1" w:themeTint="A6" w:sz="4" w:space="0"/>
        <w:left w:val="single" w:color="595959" w:themeColor="text1" w:themeTint="A6" w:sz="4" w:space="0"/>
        <w:bottom w:val="single" w:color="595959" w:themeColor="text1" w:themeTint="A6" w:sz="4" w:space="0"/>
        <w:right w:val="single" w:color="595959" w:themeColor="text1" w:themeTint="A6" w:sz="4" w:space="0"/>
        <w:insideH w:val="single" w:color="595959" w:themeColor="text1" w:themeTint="A6" w:sz="4" w:space="0"/>
        <w:insideV w:val="single" w:color="595959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</w:style>
  <w:style w:type="table" w:styleId="822" w:customStyle="1">
    <w:name w:val="Bordered &amp; Lined - Accent 1"/>
    <w:basedOn w:val="682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106485" w:themeColor="accent1" w:themeShade="95" w:sz="4" w:space="0"/>
        <w:left w:val="single" w:color="106485" w:themeColor="accent1" w:themeShade="95" w:sz="4" w:space="0"/>
        <w:bottom w:val="single" w:color="106485" w:themeColor="accent1" w:themeShade="95" w:sz="4" w:space="0"/>
        <w:right w:val="single" w:color="106485" w:themeColor="accent1" w:themeShade="95" w:sz="4" w:space="0"/>
        <w:insideH w:val="single" w:color="106485" w:themeColor="accent1" w:themeShade="95" w:sz="4" w:space="0"/>
        <w:insideV w:val="single" w:color="106485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b7e4f6" w:themeColor="accent1" w:themeTint="50" w:fill="b7e4f6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b7e4f6" w:themeColor="accent1" w:themeTint="50" w:fill="b7e4f6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2eb3e6" w:themeColor="accent1" w:themeTint="EA" w:fill="2eb3e6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2eb3e6" w:themeColor="accent1" w:themeTint="EA" w:fill="2eb3e6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2eb3e6" w:themeColor="accent1" w:themeTint="EA" w:fill="2eb3e6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2eb3e6" w:themeColor="accent1" w:themeTint="EA" w:fill="2eb3e6" w:themeFill="accent1" w:themeFillTint="EA"/>
      </w:tcPr>
    </w:tblStylePr>
  </w:style>
  <w:style w:type="table" w:styleId="823" w:customStyle="1">
    <w:name w:val="Bordered &amp; Lined - Accent 2"/>
    <w:basedOn w:val="682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164C73" w:themeColor="accent2" w:themeShade="95" w:sz="4" w:space="0"/>
        <w:left w:val="single" w:color="164C73" w:themeColor="accent2" w:themeShade="95" w:sz="4" w:space="0"/>
        <w:bottom w:val="single" w:color="164C73" w:themeColor="accent2" w:themeShade="95" w:sz="4" w:space="0"/>
        <w:right w:val="single" w:color="164C73" w:themeColor="accent2" w:themeShade="95" w:sz="4" w:space="0"/>
        <w:insideH w:val="single" w:color="164C73" w:themeColor="accent2" w:themeShade="95" w:sz="4" w:space="0"/>
        <w:insideV w:val="single" w:color="164C73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d1e6f6" w:themeColor="accent2" w:themeTint="32" w:fill="d1e6f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d1e6f6" w:themeColor="accent2" w:themeTint="32" w:fill="d1e6f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76b6e5" w:themeColor="accent2" w:themeTint="97" w:fill="76b6e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76b6e5" w:themeColor="accent2" w:themeTint="97" w:fill="76b6e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76b6e5" w:themeColor="accent2" w:themeTint="97" w:fill="76b6e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76b6e5" w:themeColor="accent2" w:themeTint="97" w:fill="76b6e5" w:themeFill="accent2" w:themeFillTint="97"/>
      </w:tcPr>
    </w:tblStylePr>
  </w:style>
  <w:style w:type="table" w:styleId="824" w:customStyle="1">
    <w:name w:val="Bordered &amp; Lined - Accent 3"/>
    <w:basedOn w:val="682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16777D" w:themeColor="accent3" w:themeShade="95" w:sz="4" w:space="0"/>
        <w:left w:val="single" w:color="16777D" w:themeColor="accent3" w:themeShade="95" w:sz="4" w:space="0"/>
        <w:bottom w:val="single" w:color="16777D" w:themeColor="accent3" w:themeShade="95" w:sz="4" w:space="0"/>
        <w:right w:val="single" w:color="16777D" w:themeColor="accent3" w:themeShade="95" w:sz="4" w:space="0"/>
        <w:insideH w:val="single" w:color="16777D" w:themeColor="accent3" w:themeShade="95" w:sz="4" w:space="0"/>
        <w:insideV w:val="single" w:color="16777D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d2f5f7" w:themeColor="accent3" w:themeTint="34" w:fill="d2f5f7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d2f5f7" w:themeColor="accent3" w:themeTint="34" w:fill="d2f5f7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27ced7" w:themeColor="accent3" w:themeTint="FE" w:fill="27ced7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27ced7" w:themeColor="accent3" w:themeTint="FE" w:fill="27ced7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27ced7" w:themeColor="accent3" w:themeTint="FE" w:fill="27ced7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27ced7" w:themeColor="accent3" w:themeTint="FE" w:fill="27ced7" w:themeFill="accent3" w:themeFillTint="FE"/>
      </w:tcPr>
    </w:tblStylePr>
  </w:style>
  <w:style w:type="table" w:styleId="825" w:customStyle="1">
    <w:name w:val="Bordered &amp; Lined - Accent 4"/>
    <w:basedOn w:val="682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266C57" w:themeColor="accent4" w:themeShade="95" w:sz="4" w:space="0"/>
        <w:left w:val="single" w:color="266C57" w:themeColor="accent4" w:themeShade="95" w:sz="4" w:space="0"/>
        <w:bottom w:val="single" w:color="266C57" w:themeColor="accent4" w:themeShade="95" w:sz="4" w:space="0"/>
        <w:right w:val="single" w:color="266C57" w:themeColor="accent4" w:themeShade="95" w:sz="4" w:space="0"/>
        <w:insideH w:val="single" w:color="266C57" w:themeColor="accent4" w:themeShade="95" w:sz="4" w:space="0"/>
        <w:insideV w:val="single" w:color="266C57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d8f1e9" w:themeColor="accent4" w:themeTint="34" w:fill="d8f1e9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d8f1e9" w:themeColor="accent4" w:themeTint="34" w:fill="d8f1e9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8bd6c0" w:themeColor="accent4" w:themeTint="9A" w:fill="8bd6c0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8bd6c0" w:themeColor="accent4" w:themeTint="9A" w:fill="8bd6c0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8bd6c0" w:themeColor="accent4" w:themeTint="9A" w:fill="8bd6c0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8bd6c0" w:themeColor="accent4" w:themeTint="9A" w:fill="8bd6c0" w:themeFill="accent4" w:themeFillTint="9A"/>
      </w:tcPr>
    </w:tblStylePr>
  </w:style>
  <w:style w:type="table" w:styleId="826" w:customStyle="1">
    <w:name w:val="Bordered &amp; Lined - Accent 5"/>
    <w:basedOn w:val="682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244F30" w:themeColor="accent5" w:themeShade="95" w:sz="4" w:space="0"/>
        <w:left w:val="single" w:color="244F30" w:themeColor="accent5" w:themeShade="95" w:sz="4" w:space="0"/>
        <w:bottom w:val="single" w:color="244F30" w:themeColor="accent5" w:themeShade="95" w:sz="4" w:space="0"/>
        <w:right w:val="single" w:color="244F30" w:themeColor="accent5" w:themeShade="95" w:sz="4" w:space="0"/>
        <w:insideH w:val="single" w:color="244F30" w:themeColor="accent5" w:themeShade="95" w:sz="4" w:space="0"/>
        <w:insideV w:val="single" w:color="244F3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d3ebd9" w:themeColor="accent5" w:themeTint="34" w:fill="d3ebd9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d3ebd9" w:themeColor="accent5" w:themeTint="34" w:fill="d3ebd9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3e8853" w:themeColor="accent5" w:fill="3e8853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3e8853" w:themeColor="accent5" w:fill="3e8853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3e8853" w:themeColor="accent5" w:fill="3e8853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3e8853" w:themeColor="accent5" w:fill="3e8853" w:themeFill="accent5"/>
      </w:tcPr>
    </w:tblStylePr>
  </w:style>
  <w:style w:type="table" w:styleId="827" w:customStyle="1">
    <w:name w:val="Bordered &amp; Lined - Accent 6"/>
    <w:basedOn w:val="682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38605D" w:themeColor="accent6" w:themeShade="95" w:sz="4" w:space="0"/>
        <w:left w:val="single" w:color="38605D" w:themeColor="accent6" w:themeShade="95" w:sz="4" w:space="0"/>
        <w:bottom w:val="single" w:color="38605D" w:themeColor="accent6" w:themeShade="95" w:sz="4" w:space="0"/>
        <w:right w:val="single" w:color="38605D" w:themeColor="accent6" w:themeShade="95" w:sz="4" w:space="0"/>
        <w:insideH w:val="single" w:color="38605D" w:themeColor="accent6" w:themeShade="95" w:sz="4" w:space="0"/>
        <w:insideV w:val="single" w:color="38605D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deeceb" w:themeColor="accent6" w:themeTint="34" w:fill="deeceb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deeceb" w:themeColor="accent6" w:themeTint="34" w:fill="deeceb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62a39f" w:themeColor="accent6" w:fill="62a39f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62a39f" w:themeColor="accent6" w:fill="62a39f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62a39f" w:themeColor="accent6" w:fill="62a39f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62a39f" w:themeColor="accent6" w:fill="62a39f" w:themeFill="accent6"/>
      </w:tcPr>
    </w:tblStylePr>
  </w:style>
  <w:style w:type="table" w:styleId="828" w:customStyle="1">
    <w:name w:val="Bordered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D9D9D9" w:themeColor="text1" w:themeTint="26" w:sz="4" w:space="0"/>
        <w:left w:val="single" w:color="D9D9D9" w:themeColor="text1" w:themeTint="26" w:sz="4" w:space="0"/>
        <w:bottom w:val="single" w:color="D9D9D9" w:themeColor="text1" w:themeTint="26" w:sz="4" w:space="0"/>
        <w:right w:val="single" w:color="D9D9D9" w:themeColor="text1" w:themeTint="26" w:sz="4" w:space="0"/>
        <w:insideH w:val="single" w:color="D9D9D9" w:themeColor="text1" w:themeTint="26" w:sz="4" w:space="0"/>
        <w:insideV w:val="single" w:color="D9D9D9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D9D9D9" w:themeColor="text1" w:themeTint="26" w:sz="4" w:space="0"/>
          <w:left w:val="single" w:color="D9D9D9" w:themeColor="text1" w:themeTint="26" w:sz="4" w:space="0"/>
          <w:bottom w:val="single" w:color="D9D9D9" w:themeColor="text1" w:themeTint="26" w:sz="4" w:space="0"/>
          <w:right w:val="single" w:color="D9D9D9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7F7F7F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7F7F7F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7F7F7F" w:themeColor="text1" w:themeTint="80" w:sz="12" w:space="0"/>
        </w:tcBorders>
      </w:tcPr>
    </w:tblStylePr>
  </w:style>
  <w:style w:type="table" w:styleId="829" w:customStyle="1">
    <w:name w:val="Bordered - Accent 1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A3DDF4" w:themeColor="accent1" w:themeTint="67" w:sz="4" w:space="0"/>
        <w:left w:val="single" w:color="A3DDF4" w:themeColor="accent1" w:themeTint="67" w:sz="4" w:space="0"/>
        <w:bottom w:val="single" w:color="A3DDF4" w:themeColor="accent1" w:themeTint="67" w:sz="4" w:space="0"/>
        <w:right w:val="single" w:color="A3DDF4" w:themeColor="accent1" w:themeTint="67" w:sz="4" w:space="0"/>
        <w:insideH w:val="single" w:color="A3DDF4" w:themeColor="accent1" w:themeTint="67" w:sz="4" w:space="0"/>
        <w:insideV w:val="single" w:color="A3DDF4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A3DDF4" w:themeColor="accent1" w:themeTint="67" w:sz="4" w:space="0"/>
          <w:left w:val="single" w:color="A3DDF4" w:themeColor="accent1" w:themeTint="67" w:sz="4" w:space="0"/>
          <w:bottom w:val="single" w:color="A3DDF4" w:themeColor="accent1" w:themeTint="67" w:sz="4" w:space="0"/>
          <w:right w:val="single" w:color="A3DDF4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1CADE4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1CADE4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1CADE4" w:themeColor="accent1" w:sz="12" w:space="0"/>
        </w:tcBorders>
      </w:tcPr>
    </w:tblStylePr>
  </w:style>
  <w:style w:type="table" w:styleId="830" w:customStyle="1">
    <w:name w:val="Bordered - Accent 2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A1CDED" w:themeColor="accent2" w:themeTint="67" w:sz="4" w:space="0"/>
        <w:left w:val="single" w:color="A1CDED" w:themeColor="accent2" w:themeTint="67" w:sz="4" w:space="0"/>
        <w:bottom w:val="single" w:color="A1CDED" w:themeColor="accent2" w:themeTint="67" w:sz="4" w:space="0"/>
        <w:right w:val="single" w:color="A1CDED" w:themeColor="accent2" w:themeTint="67" w:sz="4" w:space="0"/>
        <w:insideH w:val="single" w:color="A1CDED" w:themeColor="accent2" w:themeTint="67" w:sz="4" w:space="0"/>
        <w:insideV w:val="single" w:color="A1CDED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A1CDED" w:themeColor="accent2" w:themeTint="67" w:sz="4" w:space="0"/>
          <w:left w:val="single" w:color="A1CDED" w:themeColor="accent2" w:themeTint="67" w:sz="4" w:space="0"/>
          <w:bottom w:val="single" w:color="A1CDED" w:themeColor="accent2" w:themeTint="67" w:sz="4" w:space="0"/>
          <w:right w:val="single" w:color="A1CDED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76B6E5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76B6E5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76B6E5" w:themeColor="accent2" w:themeTint="97" w:sz="12" w:space="0"/>
        </w:tcBorders>
      </w:tcPr>
    </w:tblStylePr>
  </w:style>
  <w:style w:type="table" w:styleId="831" w:customStyle="1">
    <w:name w:val="Bordered - Accent 3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A7EBEF" w:themeColor="accent3" w:themeTint="67" w:sz="4" w:space="0"/>
        <w:left w:val="single" w:color="A7EBEF" w:themeColor="accent3" w:themeTint="67" w:sz="4" w:space="0"/>
        <w:bottom w:val="single" w:color="A7EBEF" w:themeColor="accent3" w:themeTint="67" w:sz="4" w:space="0"/>
        <w:right w:val="single" w:color="A7EBEF" w:themeColor="accent3" w:themeTint="67" w:sz="4" w:space="0"/>
        <w:insideH w:val="single" w:color="A7EBEF" w:themeColor="accent3" w:themeTint="67" w:sz="4" w:space="0"/>
        <w:insideV w:val="single" w:color="A7EBEF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A7EBEF" w:themeColor="accent3" w:themeTint="67" w:sz="4" w:space="0"/>
          <w:left w:val="single" w:color="A7EBEF" w:themeColor="accent3" w:themeTint="67" w:sz="4" w:space="0"/>
          <w:bottom w:val="single" w:color="A7EBEF" w:themeColor="accent3" w:themeTint="67" w:sz="4" w:space="0"/>
          <w:right w:val="single" w:color="A7EBEF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7DE1E7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7DE1E7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7DE1E7" w:themeColor="accent3" w:themeTint="98" w:sz="12" w:space="0"/>
        </w:tcBorders>
      </w:tcPr>
    </w:tblStylePr>
  </w:style>
  <w:style w:type="table" w:styleId="832" w:customStyle="1">
    <w:name w:val="Bordered - Accent 4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B2E3D5" w:themeColor="accent4" w:themeTint="67" w:sz="4" w:space="0"/>
        <w:left w:val="single" w:color="B2E3D5" w:themeColor="accent4" w:themeTint="67" w:sz="4" w:space="0"/>
        <w:bottom w:val="single" w:color="B2E3D5" w:themeColor="accent4" w:themeTint="67" w:sz="4" w:space="0"/>
        <w:right w:val="single" w:color="B2E3D5" w:themeColor="accent4" w:themeTint="67" w:sz="4" w:space="0"/>
        <w:insideH w:val="single" w:color="B2E3D5" w:themeColor="accent4" w:themeTint="67" w:sz="4" w:space="0"/>
        <w:insideV w:val="single" w:color="B2E3D5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2E3D5" w:themeColor="accent4" w:themeTint="67" w:sz="4" w:space="0"/>
          <w:left w:val="single" w:color="B2E3D5" w:themeColor="accent4" w:themeTint="67" w:sz="4" w:space="0"/>
          <w:bottom w:val="single" w:color="B2E3D5" w:themeColor="accent4" w:themeTint="67" w:sz="4" w:space="0"/>
          <w:right w:val="single" w:color="B2E3D5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8BD6C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8BD6C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8BD6C0" w:themeColor="accent4" w:themeTint="9A" w:sz="12" w:space="0"/>
        </w:tcBorders>
      </w:tcPr>
    </w:tblStylePr>
  </w:style>
  <w:style w:type="table" w:styleId="833" w:customStyle="1">
    <w:name w:val="Bordered - Accent 5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A8D7B5" w:themeColor="accent5" w:themeTint="67" w:sz="4" w:space="0"/>
        <w:left w:val="single" w:color="A8D7B5" w:themeColor="accent5" w:themeTint="67" w:sz="4" w:space="0"/>
        <w:bottom w:val="single" w:color="A8D7B5" w:themeColor="accent5" w:themeTint="67" w:sz="4" w:space="0"/>
        <w:right w:val="single" w:color="A8D7B5" w:themeColor="accent5" w:themeTint="67" w:sz="4" w:space="0"/>
        <w:insideH w:val="single" w:color="A8D7B5" w:themeColor="accent5" w:themeTint="67" w:sz="4" w:space="0"/>
        <w:insideV w:val="single" w:color="A8D7B5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A8D7B5" w:themeColor="accent5" w:themeTint="67" w:sz="4" w:space="0"/>
          <w:left w:val="single" w:color="A8D7B5" w:themeColor="accent5" w:themeTint="67" w:sz="4" w:space="0"/>
          <w:bottom w:val="single" w:color="A8D7B5" w:themeColor="accent5" w:themeTint="67" w:sz="4" w:space="0"/>
          <w:right w:val="single" w:color="A8D7B5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7DC491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7DC491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7DC491" w:themeColor="accent5" w:themeTint="9A" w:sz="12" w:space="0"/>
        </w:tcBorders>
      </w:tcPr>
    </w:tblStylePr>
  </w:style>
  <w:style w:type="table" w:styleId="834" w:customStyle="1">
    <w:name w:val="Bordered - Accent 6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BFD9D8" w:themeColor="accent6" w:themeTint="67" w:sz="4" w:space="0"/>
        <w:left w:val="single" w:color="BFD9D8" w:themeColor="accent6" w:themeTint="67" w:sz="4" w:space="0"/>
        <w:bottom w:val="single" w:color="BFD9D8" w:themeColor="accent6" w:themeTint="67" w:sz="4" w:space="0"/>
        <w:right w:val="single" w:color="BFD9D8" w:themeColor="accent6" w:themeTint="67" w:sz="4" w:space="0"/>
        <w:insideH w:val="single" w:color="BFD9D8" w:themeColor="accent6" w:themeTint="67" w:sz="4" w:space="0"/>
        <w:insideV w:val="single" w:color="BFD9D8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FD9D8" w:themeColor="accent6" w:themeTint="67" w:sz="4" w:space="0"/>
          <w:left w:val="single" w:color="BFD9D8" w:themeColor="accent6" w:themeTint="67" w:sz="4" w:space="0"/>
          <w:bottom w:val="single" w:color="BFD9D8" w:themeColor="accent6" w:themeTint="67" w:sz="4" w:space="0"/>
          <w:right w:val="single" w:color="BFD9D8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A1C8C5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A1C8C5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A1C8C5" w:themeColor="accent6" w:themeTint="98" w:sz="12" w:space="0"/>
        </w:tcBorders>
      </w:tcPr>
    </w:tblStylePr>
  </w:style>
  <w:style w:type="character" w:styleId="835">
    <w:name w:val="Hyperlink"/>
    <w:uiPriority w:val="99"/>
    <w:unhideWhenUsed/>
    <w:rPr>
      <w:color w:val="6eac1c" w:themeColor="hyperlink"/>
      <w:u w:val="single"/>
    </w:rPr>
  </w:style>
  <w:style w:type="paragraph" w:styleId="836">
    <w:name w:val="footnote text"/>
    <w:basedOn w:val="671"/>
    <w:link w:val="837"/>
    <w:uiPriority w:val="99"/>
    <w:semiHidden/>
    <w:unhideWhenUsed/>
    <w:pPr>
      <w:spacing w:after="40" w:line="240" w:lineRule="auto"/>
    </w:pPr>
    <w:rPr>
      <w:sz w:val="18"/>
    </w:rPr>
  </w:style>
  <w:style w:type="character" w:styleId="837" w:customStyle="1">
    <w:name w:val="Текст сноски Знак"/>
    <w:link w:val="836"/>
    <w:uiPriority w:val="99"/>
    <w:rPr>
      <w:sz w:val="18"/>
    </w:rPr>
  </w:style>
  <w:style w:type="character" w:styleId="838">
    <w:name w:val="footnote reference"/>
    <w:basedOn w:val="681"/>
    <w:uiPriority w:val="99"/>
    <w:unhideWhenUsed/>
    <w:rPr>
      <w:vertAlign w:val="superscript"/>
    </w:rPr>
  </w:style>
  <w:style w:type="paragraph" w:styleId="839">
    <w:name w:val="endnote text"/>
    <w:basedOn w:val="671"/>
    <w:link w:val="840"/>
    <w:uiPriority w:val="99"/>
    <w:semiHidden/>
    <w:unhideWhenUsed/>
    <w:pPr>
      <w:spacing w:after="0" w:line="240" w:lineRule="auto"/>
    </w:pPr>
    <w:rPr>
      <w:sz w:val="20"/>
    </w:rPr>
  </w:style>
  <w:style w:type="character" w:styleId="840" w:customStyle="1">
    <w:name w:val="Текст концевой сноски Знак"/>
    <w:link w:val="839"/>
    <w:uiPriority w:val="99"/>
    <w:rPr>
      <w:sz w:val="20"/>
    </w:rPr>
  </w:style>
  <w:style w:type="character" w:styleId="841">
    <w:name w:val="endnote reference"/>
    <w:basedOn w:val="681"/>
    <w:uiPriority w:val="99"/>
    <w:semiHidden/>
    <w:unhideWhenUsed/>
    <w:rPr>
      <w:vertAlign w:val="superscript"/>
    </w:rPr>
  </w:style>
  <w:style w:type="paragraph" w:styleId="842">
    <w:name w:val="toc 1"/>
    <w:basedOn w:val="671"/>
    <w:next w:val="671"/>
    <w:uiPriority w:val="39"/>
    <w:unhideWhenUsed/>
    <w:pPr>
      <w:spacing w:after="57"/>
    </w:pPr>
  </w:style>
  <w:style w:type="paragraph" w:styleId="843">
    <w:name w:val="toc 2"/>
    <w:basedOn w:val="671"/>
    <w:next w:val="671"/>
    <w:uiPriority w:val="39"/>
    <w:unhideWhenUsed/>
    <w:pPr>
      <w:ind w:left="283"/>
      <w:spacing w:after="57"/>
    </w:pPr>
  </w:style>
  <w:style w:type="paragraph" w:styleId="844">
    <w:name w:val="toc 3"/>
    <w:basedOn w:val="671"/>
    <w:next w:val="671"/>
    <w:uiPriority w:val="39"/>
    <w:unhideWhenUsed/>
    <w:pPr>
      <w:ind w:left="567"/>
      <w:spacing w:after="57"/>
    </w:pPr>
  </w:style>
  <w:style w:type="paragraph" w:styleId="845">
    <w:name w:val="toc 4"/>
    <w:basedOn w:val="671"/>
    <w:next w:val="671"/>
    <w:uiPriority w:val="39"/>
    <w:unhideWhenUsed/>
    <w:pPr>
      <w:ind w:left="850"/>
      <w:spacing w:after="57"/>
    </w:pPr>
  </w:style>
  <w:style w:type="paragraph" w:styleId="846">
    <w:name w:val="toc 5"/>
    <w:basedOn w:val="671"/>
    <w:next w:val="671"/>
    <w:uiPriority w:val="39"/>
    <w:unhideWhenUsed/>
    <w:pPr>
      <w:ind w:left="1134"/>
      <w:spacing w:after="57"/>
    </w:pPr>
  </w:style>
  <w:style w:type="paragraph" w:styleId="847">
    <w:name w:val="toc 6"/>
    <w:basedOn w:val="671"/>
    <w:next w:val="671"/>
    <w:uiPriority w:val="39"/>
    <w:unhideWhenUsed/>
    <w:pPr>
      <w:ind w:left="1417"/>
      <w:spacing w:after="57"/>
    </w:pPr>
  </w:style>
  <w:style w:type="paragraph" w:styleId="848">
    <w:name w:val="toc 7"/>
    <w:basedOn w:val="671"/>
    <w:next w:val="671"/>
    <w:uiPriority w:val="39"/>
    <w:unhideWhenUsed/>
    <w:pPr>
      <w:ind w:left="1701"/>
      <w:spacing w:after="57"/>
    </w:pPr>
  </w:style>
  <w:style w:type="paragraph" w:styleId="849">
    <w:name w:val="toc 8"/>
    <w:basedOn w:val="671"/>
    <w:next w:val="671"/>
    <w:uiPriority w:val="39"/>
    <w:unhideWhenUsed/>
    <w:pPr>
      <w:ind w:left="1984"/>
      <w:spacing w:after="57"/>
    </w:pPr>
  </w:style>
  <w:style w:type="paragraph" w:styleId="850">
    <w:name w:val="toc 9"/>
    <w:basedOn w:val="671"/>
    <w:next w:val="671"/>
    <w:uiPriority w:val="39"/>
    <w:unhideWhenUsed/>
    <w:pPr>
      <w:ind w:left="2268"/>
      <w:spacing w:after="57"/>
    </w:pPr>
  </w:style>
  <w:style w:type="paragraph" w:styleId="851">
    <w:name w:val="TOC Heading"/>
    <w:uiPriority w:val="39"/>
    <w:unhideWhenUsed/>
  </w:style>
  <w:style w:type="paragraph" w:styleId="852">
    <w:name w:val="table of figures"/>
    <w:basedOn w:val="671"/>
    <w:next w:val="671"/>
    <w:uiPriority w:val="99"/>
    <w:unhideWhenUsed/>
    <w:pPr>
      <w:spacing w:after="0"/>
    </w:pPr>
  </w:style>
  <w:style w:type="paragraph" w:styleId="853">
    <w:name w:val="Balloon Text"/>
    <w:basedOn w:val="671"/>
    <w:link w:val="854"/>
    <w:uiPriority w:val="99"/>
    <w:semiHidden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854" w:customStyle="1">
    <w:name w:val="Текст выноски Знак"/>
    <w:basedOn w:val="681"/>
    <w:link w:val="853"/>
    <w:uiPriority w:val="99"/>
    <w:semiHidden/>
    <w:rPr>
      <w:rFonts w:ascii="Segoe UI" w:hAnsi="Segoe UI" w:cs="Segoe UI"/>
      <w:sz w:val="18"/>
      <w:szCs w:val="18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Relationship Id="rId8" Type="http://schemas.openxmlformats.org/officeDocument/2006/relationships/customXml" Target="../customXml/item1.xml" /><Relationship Id="rId9" Type="http://schemas.openxmlformats.org/officeDocument/2006/relationships/chart" Target="charts/chart1.xml" /><Relationship Id="rId10" Type="http://schemas.openxmlformats.org/officeDocument/2006/relationships/chart" Target="charts/chart2.xml" /><Relationship Id="rId11" Type="http://schemas.openxmlformats.org/officeDocument/2006/relationships/chart" Target="charts/chart3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charts/_rels/chart1.xml.rels><?xml version="1.0" encoding="UTF-8" standalone="yes"?><Relationships xmlns="http://schemas.openxmlformats.org/package/2006/relationships"><Relationship Id="rId1" Type="http://schemas.openxmlformats.org/officeDocument/2006/relationships/package" Target="../embeddings/Microsoft_Excel_Worksheet1.xlsx" /></Relationships>
</file>

<file path=word/charts/_rels/chart2.xml.rels><?xml version="1.0" encoding="UTF-8" standalone="yes"?><Relationships xmlns="http://schemas.openxmlformats.org/package/2006/relationships"><Relationship Id="rId1" Type="http://schemas.openxmlformats.org/officeDocument/2006/relationships/package" Target="../embeddings/Microsoft_Excel_Worksheet2.xlsx" /></Relationships>
</file>

<file path=word/charts/_rels/chart3.xml.rels><?xml version="1.0" encoding="UTF-8" standalone="yes"?><Relationships xmlns="http://schemas.openxmlformats.org/package/2006/relationships"><Relationship Id="rId1" Type="http://schemas.microsoft.com/office/2011/relationships/chartStyle" Target="style1.xml" /><Relationship Id="rId2" Type="http://schemas.microsoft.com/office/2011/relationships/chartColorStyle" Target="colors1.xml" /><Relationship Id="rId3" Type="http://schemas.openxmlformats.org/officeDocument/2006/relationships/package" Target="../embeddings/Microsoft_Excel_Worksheet3.xlsx" 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mc="http://schemas.openxmlformats.org/markup-compatibility/2006" xmlns:c15="http://schemas.microsoft.com/office/drawing/2012/chart" xmlns:c14="http://schemas.microsoft.com/office/drawing/2007/8/2/chart" xmlns:c16r2="http://schemas.microsoft.com/office/drawing/2015/06/chart">
  <c:date1904 val="0"/>
  <c:lang val="ru-RU"/>
  <c:roundedCorners val="0"/>
  <mc:AlternateContent>
    <mc:Choice Requires="c14">
      <c14:style val="102"/>
    </mc:Choice>
    <mc:Fallback>
      <c:style val="2"/>
    </mc:Fallback>
  </mc:AlternateContent>
  <c:chart>
    <c:autoTitleDeleted val="1"/>
    <c:view3D>
      <c:rotX val="75"/>
      <c:rotY val="0"/>
      <c:rAngAx val="0"/>
    </c:view3D>
    <c:floor>
      <c:thickness val="0"/>
      <c:spPr bwMode="auto">
        <a:prstGeom prst="rect">
          <a:avLst/>
        </a:prstGeom>
        <a:noFill/>
        <a:ln>
          <a:noFill/>
        </a:ln>
        <a:effectLst/>
      </c:spPr>
    </c:floor>
    <c:sideWall>
      <c:thickness val="0"/>
      <c:spPr bwMode="auto">
        <a:prstGeom prst="rect">
          <a:avLst/>
        </a:prstGeom>
        <a:noFill/>
        <a:ln>
          <a:noFill/>
        </a:ln>
        <a:effectLst/>
      </c:spPr>
    </c:sideWall>
    <c:backWall>
      <c:thickness val="0"/>
      <c:spPr bwMode="auto">
        <a:prstGeom prst="rect">
          <a:avLst/>
        </a:prstGeom>
        <a:noFill/>
        <a:ln>
          <a:noFill/>
        </a:ln>
        <a:effectLst/>
      </c:spPr>
    </c:backWall>
    <c:plotArea>
      <c:layout/>
      <c:pie3D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Продажи</c:v>
                </c:pt>
              </c:strCache>
            </c:strRef>
          </c:tx>
          <c:dPt>
            <c:idx val="0"/>
            <c:bubble3D val="0"/>
            <c:spPr bwMode="auto">
              <a:prstGeom prst="rect">
                <a:avLst/>
              </a:prstGeom>
              <a:solidFill>
                <a:schemeClr val="accent1"/>
              </a:solidFill>
              <a:ln w="19050">
                <a:solidFill>
                  <a:schemeClr val="lt1"/>
                </a:solidFill>
              </a:ln>
              <a:effectLst/>
            </c:spPr>
          </c:dPt>
          <c:dPt>
            <c:idx val="1"/>
            <c:bubble3D val="0"/>
            <c:spPr bwMode="auto">
              <a:prstGeom prst="rect">
                <a:avLst/>
              </a:prstGeom>
              <a:solidFill>
                <a:schemeClr val="accent2"/>
              </a:solidFill>
              <a:ln w="19050">
                <a:solidFill>
                  <a:schemeClr val="lt1"/>
                </a:solidFill>
              </a:ln>
              <a:effectLst/>
            </c:spPr>
          </c:dPt>
          <c:dPt>
            <c:idx val="2"/>
            <c:bubble3D val="0"/>
            <c:spPr bwMode="auto">
              <a:prstGeom prst="rect">
                <a:avLst/>
              </a:prstGeom>
              <a:solidFill>
                <a:schemeClr val="accent3"/>
              </a:solidFill>
              <a:ln w="19050">
                <a:solidFill>
                  <a:schemeClr val="lt1"/>
                </a:solidFill>
              </a:ln>
              <a:effectLst/>
            </c:spPr>
          </c:dPt>
          <c:dPt>
            <c:idx val="3"/>
            <c:bubble3D val="0"/>
            <c:spPr bwMode="auto">
              <a:prstGeom prst="rect">
                <a:avLst/>
              </a:prstGeom>
              <a:solidFill>
                <a:schemeClr val="accent4"/>
              </a:solidFill>
              <a:ln w="19050">
                <a:solidFill>
                  <a:schemeClr val="lt1"/>
                </a:solidFill>
                <a:round/>
              </a:ln>
              <a:effectLst/>
            </c:spPr>
          </c:dPt>
          <c:dLbls>
            <c:dLbl>
              <c:idx val="0"/>
              <c:layout/>
              <c:showBubbleSize val="0"/>
              <c:showCatName val="0"/>
              <c:showLegendKey val="0"/>
              <c:showPercent val="0"/>
              <c:showSerName val="0"/>
              <c:showVal val="1"/>
              <c:tx>
                <c:rich>
                  <a:bodyPr/>
                  <a:lstStyle/>
                  <a:p>
                    <a:pPr>
                      <a:defRPr/>
                    </a:pPr>
                    <a:r>
                      <a:rPr lang="ru-RU"/>
                      <a:t>833</a:t>
                    </a:r>
                    <a:endParaRPr/>
                  </a:p>
                </c:rich>
              </c:tx>
            </c:dLbl>
            <c:dLbl>
              <c:idx val="1"/>
              <c:layout/>
              <c:showBubbleSize val="0"/>
              <c:showCatName val="0"/>
              <c:showLegendKey val="0"/>
              <c:showPercent val="0"/>
              <c:showSerName val="0"/>
              <c:showVal val="1"/>
              <c:tx>
                <c:rich>
                  <a:bodyPr/>
                  <a:lstStyle/>
                  <a:p>
                    <a:pPr>
                      <a:defRPr/>
                    </a:pPr>
                    <a:r>
                      <a:rPr lang="ru-RU"/>
                      <a:t>32</a:t>
                    </a:r>
                    <a:endParaRPr/>
                  </a:p>
                </c:rich>
              </c:tx>
            </c:dLbl>
            <c:dLbl>
              <c:idx val="2"/>
              <c:layout>
                <c:manualLayout>
                  <c:x val="0.013786"/>
                  <c:y val="-0.007042"/>
                </c:manualLayout>
              </c:layout>
              <c:showBubbleSize val="0"/>
              <c:showCatName val="0"/>
              <c:showLegendKey val="0"/>
              <c:showPercent val="0"/>
              <c:showSerName val="0"/>
              <c:showVal val="1"/>
              <c:tx>
                <c:rich>
                  <a:bodyPr/>
                  <a:lstStyle/>
                  <a:p>
                    <a:pPr>
                      <a:defRPr/>
                    </a:pPr>
                    <a:r>
                      <a:rPr lang="en-US"/>
                      <a:t>3</a:t>
                    </a:r>
                    <a:r>
                      <a:rPr lang="ru-RU"/>
                      <a:t>8</a:t>
                    </a:r>
                    <a:endParaRPr/>
                  </a:p>
                </c:rich>
              </c:tx>
            </c:dLbl>
            <c:leaderLines>
              <c:spPr bwMode="auto">
                <a:prstGeom prst="rect">
                  <a:avLst/>
                </a:prstGeom>
                <a:ln w="9525" cap="flat" cmpd="sng" algn="ctr">
                  <a:solidFill>
                    <a:schemeClr val="tx1">
                      <a:lumMod val="35000"/>
                      <a:lumOff val="65000"/>
                    </a:schemeClr>
                  </a:solidFill>
                  <a:round/>
                </a:ln>
                <a:effectLst/>
              </c:spPr>
            </c:leaderLines>
            <c:showBubbleSize val="0"/>
            <c:showCatName val="0"/>
            <c:showLeaderLines val="1"/>
            <c:showLegendKey val="0"/>
            <c:showPercent val="0"/>
            <c:showSerName val="0"/>
            <c:showVal val="1"/>
            <c:spPr bwMode="auto">
              <a:prstGeom prst="rect">
                <a:avLst/>
              </a:prstGeom>
              <a:noFill/>
              <a:ln>
                <a:noFill/>
                <a:miter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>
                    <a:solidFill>
                      <a:schemeClr val="tx1">
                        <a:lumMod val="65000"/>
                        <a:lumOff val="3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</c:dLbls>
          <c:cat>
            <c:strRef>
              <c:f>Лист1!$A$2:$A$4</c:f>
              <c:strCache>
                <c:ptCount val="3"/>
                <c:pt idx="0">
                  <c:v xml:space="preserve">письменные обращения</c:v>
                </c:pt>
                <c:pt idx="1">
                  <c:v xml:space="preserve">личный прием</c:v>
                </c:pt>
                <c:pt idx="2">
                  <c:v xml:space="preserve">справочный телефон</c:v>
                </c:pt>
              </c:strCache>
            </c:strRef>
          </c:cat>
          <c:val>
            <c:numRef>
              <c:f>Лист1!$B$2:$B$4</c:f>
              <c:numCache>
                <c:formatCode>General</c:formatCode>
                <c:ptCount val="3"/>
                <c:pt idx="0">
                  <c:v>828</c:v>
                </c:pt>
                <c:pt idx="1">
                  <c:v>23</c:v>
                </c:pt>
                <c:pt idx="2">
                  <c:v>46</c:v>
                </c:pt>
              </c:numCache>
            </c:numRef>
          </c:val>
        </c:ser>
        <c:dLbls>
          <c:showBubbleSize val="0"/>
          <c:showCatName val="0"/>
          <c:showLeaderLines val="1"/>
          <c:showLegendKey val="0"/>
          <c:showPercent val="0"/>
          <c:showSerName val="0"/>
          <c:showVal val="0"/>
        </c:dLbls>
      </c:pie3DChart>
      <c:spPr bwMode="auto">
        <a:prstGeom prst="rect">
          <a:avLst/>
        </a:prstGeom>
        <a:noFill/>
        <a:ln>
          <a:noFill/>
        </a:ln>
        <a:effectLst/>
      </c:spPr>
    </c:plotArea>
    <c:legend>
      <c:legendPos val="b"/>
      <c:layout/>
      <c:overlay val="0"/>
      <c:spPr bwMode="auto">
        <a:prstGeom prst="rect">
          <a:avLst/>
        </a:prstGeom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 bwMode="auto">
    <a:prstGeom prst="rect">
      <a:avLst/>
    </a:prstGeom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mc="http://schemas.openxmlformats.org/markup-compatibility/2006" xmlns:c15="http://schemas.microsoft.com/office/drawing/2012/chart" xmlns:c14="http://schemas.microsoft.com/office/drawing/2007/8/2/chart" xmlns:c16r2="http://schemas.microsoft.com/office/drawing/2015/06/chart">
  <c:date1904 val="0"/>
  <c:lang val="ru-RU"/>
  <c:roundedCorners val="0"/>
  <mc:AlternateContent>
    <mc:Choice Requires="c14">
      <c14:style val="106"/>
    </mc:Choice>
    <mc:Fallback>
      <c:style val="6"/>
    </mc:Fallback>
  </mc:AlternateContent>
  <c:chart>
    <c:autoTitleDeleted val="1"/>
    <c:plotArea>
      <c:layout/>
      <c:barChart>
        <c:barDir val="col"/>
        <c:grouping val="stack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 xml:space="preserve">Ряд 1</c:v>
                </c:pt>
              </c:strCache>
            </c:strRef>
          </c:tx>
          <c:spPr bwMode="auto">
            <a:prstGeom prst="rect">
              <a:avLst/>
            </a:prstGeom>
            <a:solidFill>
              <a:schemeClr val="accent4"/>
            </a:solidFill>
            <a:ln>
              <a:noFill/>
            </a:ln>
            <a:effectLst/>
          </c:spPr>
          <c:invertIfNegative val="0"/>
          <c:cat>
            <c:numRef>
              <c:f>Лист1!$A$2:$A$3</c:f>
              <c:numCache>
                <c:formatCode>General</c:formatCode>
                <c:ptCount val="2"/>
                <c:pt idx="0">
                  <c:v>2023</c:v>
                </c:pt>
                <c:pt idx="1">
                  <c:v>2024</c:v>
                </c:pt>
              </c:numCache>
            </c:num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884</c:v>
                </c:pt>
                <c:pt idx="1">
                  <c:v>903</c:v>
                </c:pt>
              </c:numCache>
            </c:numRef>
          </c:val>
        </c:ser>
        <c:dLbls>
          <c:showBubbleSize val="0"/>
          <c:showCatName val="0"/>
          <c:showLeaderLines val="0"/>
          <c:showLegendKey val="0"/>
          <c:showPercent val="0"/>
          <c:showSerName val="0"/>
          <c:showVal val="0"/>
        </c:dLbls>
        <c:gapWidth val="150"/>
        <c:overlap val="100"/>
        <c:axId val="318301568"/>
        <c:axId val="316571520"/>
      </c:barChart>
      <c:catAx>
        <c:axId val="318301568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 bwMode="auto">
          <a:prstGeom prst="rect">
            <a:avLst/>
          </a:prstGeom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>
                <a:solidFill>
                  <a:schemeClr val="tx1">
                    <a:lumMod val="65000"/>
                    <a:lumOff val="35000"/>
                  </a:schemeClr>
                </a:solidFill>
                <a:latin typeface="Calibri"/>
                <a:ea typeface="Arial"/>
                <a:cs typeface="Arial"/>
              </a:defRPr>
            </a:pPr>
            <a:endParaRPr lang="ru-RU"/>
          </a:p>
        </c:txPr>
        <c:crossAx val="316571520"/>
        <c:crosses val="autoZero"/>
        <c:auto val="1"/>
        <c:lblAlgn val="ctr"/>
        <c:lblOffset val="100"/>
        <c:noMultiLvlLbl val="0"/>
      </c:catAx>
      <c:valAx>
        <c:axId val="316571520"/>
        <c:scaling>
          <c:orientation val="minMax"/>
        </c:scaling>
        <c:delete val="0"/>
        <c:axPos val="l"/>
        <c:majorGridlines>
          <c:spPr bwMode="auto">
            <a:prstGeom prst="rect">
              <a:avLst/>
            </a:prstGeom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 bwMode="auto">
          <a:prstGeom prst="rect">
            <a:avLst/>
          </a:prstGeom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>
                <a:solidFill>
                  <a:schemeClr val="tx1">
                    <a:lumMod val="65000"/>
                    <a:lumOff val="35000"/>
                  </a:schemeClr>
                </a:solidFill>
                <a:latin typeface="Calibri"/>
                <a:ea typeface="Arial"/>
                <a:cs typeface="Arial"/>
              </a:defRPr>
            </a:pPr>
            <a:endParaRPr lang="ru-RU"/>
          </a:p>
        </c:txPr>
        <c:crossAx val="318301568"/>
        <c:crosses val="autoZero"/>
        <c:crossBetween val="between"/>
      </c:valAx>
      <c:spPr bwMode="auto">
        <a:prstGeom prst="rect">
          <a:avLst/>
        </a:prstGeom>
        <a:noFill/>
        <a:ln>
          <a:noFill/>
        </a:ln>
        <a:effectLst/>
      </c:spPr>
    </c:plotArea>
    <c:plotVisOnly val="1"/>
    <c:dispBlanksAs val="gap"/>
    <c:showDLblsOverMax val="0"/>
  </c:chart>
  <c:spPr bwMode="auto">
    <a:xfrm>
      <a:off x="0" y="0"/>
      <a:ext cx="5486398" cy="3524248"/>
    </a:xfrm>
    <a:prstGeom prst="rect">
      <a:avLst/>
    </a:prstGeom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mc="http://schemas.openxmlformats.org/markup-compatibility/2006" xmlns:c15="http://schemas.microsoft.com/office/drawing/2012/chart" xmlns:c14="http://schemas.microsoft.com/office/drawing/2007/8/2/chart" xmlns:c16r2="http://schemas.microsoft.com/office/drawing/2015/06/chart">
  <c:date1904 val="0"/>
  <c:lang val="ru-RU"/>
  <c:roundedCorners val="0"/>
  <mc:AlternateContent>
    <mc:Choice Requires="c14">
      <c14:style val="102"/>
    </mc:Choice>
    <mc:Fallback>
      <c:style val="2"/>
    </mc:Fallback>
  </mc:AlternateContent>
  <c:chart>
    <c:autoTitleDeleted val="1"/>
    <c:plotArea>
      <c:layout/>
      <c:pie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Столбец1</c:v>
                </c:pt>
              </c:strCache>
            </c:strRef>
          </c:tx>
          <c:explosion val="6"/>
          <c:dPt>
            <c:idx val="0"/>
            <c:bubble3D val="0"/>
            <c:spPr bwMode="auto">
              <a:prstGeom prst="rect">
                <a:avLst/>
              </a:prstGeom>
              <a:gradFill>
                <a:gsLst>
                  <a:gs pos="0">
                    <a:schemeClr val="accent1"/>
                  </a:gs>
                  <a:gs pos="100000">
                    <a:schemeClr val="accent1">
                      <a:lumMod val="60000"/>
                      <a:lumOff val="40000"/>
                    </a:schemeClr>
                  </a:gs>
                </a:gsLst>
                <a:lin ang="5400000" scaled="0"/>
              </a:gradFill>
              <a:ln w="19050">
                <a:solidFill>
                  <a:schemeClr val="lt1"/>
                </a:solidFill>
              </a:ln>
              <a:effectLst/>
            </c:spPr>
          </c:dPt>
          <c:dPt>
            <c:idx val="1"/>
            <c:bubble3D val="0"/>
            <c:spPr bwMode="auto">
              <a:prstGeom prst="rect">
                <a:avLst/>
              </a:prstGeom>
              <a:gradFill>
                <a:gsLst>
                  <a:gs pos="0">
                    <a:schemeClr val="accent2"/>
                  </a:gs>
                  <a:gs pos="100000">
                    <a:schemeClr val="accent2">
                      <a:lumMod val="60000"/>
                      <a:lumOff val="40000"/>
                    </a:schemeClr>
                  </a:gs>
                </a:gsLst>
                <a:lin ang="5400000" scaled="0"/>
              </a:gradFill>
              <a:ln w="19050">
                <a:solidFill>
                  <a:schemeClr val="lt1"/>
                </a:solidFill>
              </a:ln>
              <a:effectLst/>
            </c:spPr>
          </c:dPt>
          <c:dPt>
            <c:idx val="2"/>
            <c:bubble3D val="0"/>
            <c:spPr bwMode="auto">
              <a:prstGeom prst="rect">
                <a:avLst/>
              </a:prstGeom>
              <a:gradFill>
                <a:gsLst>
                  <a:gs pos="0">
                    <a:schemeClr val="accent3"/>
                  </a:gs>
                  <a:gs pos="100000">
                    <a:schemeClr val="accent3">
                      <a:lumMod val="60000"/>
                      <a:lumOff val="40000"/>
                    </a:schemeClr>
                  </a:gs>
                </a:gsLst>
                <a:lin ang="5400000" scaled="0"/>
              </a:gradFill>
              <a:ln w="19050">
                <a:solidFill>
                  <a:schemeClr val="lt1"/>
                </a:solidFill>
              </a:ln>
              <a:effectLst/>
            </c:spPr>
          </c:dPt>
          <c:dPt>
            <c:idx val="3"/>
            <c:bubble3D val="0"/>
            <c:spPr bwMode="auto">
              <a:prstGeom prst="rect">
                <a:avLst/>
              </a:prstGeom>
              <a:gradFill>
                <a:gsLst>
                  <a:gs pos="0">
                    <a:schemeClr val="accent4"/>
                  </a:gs>
                  <a:gs pos="100000">
                    <a:schemeClr val="accent4">
                      <a:lumMod val="60000"/>
                      <a:lumOff val="40000"/>
                    </a:schemeClr>
                  </a:gs>
                </a:gsLst>
                <a:lin ang="5400000" scaled="0"/>
              </a:gradFill>
              <a:ln w="19050">
                <a:solidFill>
                  <a:schemeClr val="lt1"/>
                </a:solidFill>
              </a:ln>
              <a:effectLst/>
            </c:spPr>
          </c:dPt>
          <c:dPt>
            <c:idx val="4"/>
            <c:bubble3D val="0"/>
            <c:spPr bwMode="auto">
              <a:prstGeom prst="rect">
                <a:avLst/>
              </a:prstGeom>
              <a:gradFill>
                <a:gsLst>
                  <a:gs pos="0">
                    <a:schemeClr val="accent5"/>
                  </a:gs>
                  <a:gs pos="100000">
                    <a:schemeClr val="accent5">
                      <a:lumMod val="60000"/>
                      <a:lumOff val="40000"/>
                    </a:schemeClr>
                  </a:gs>
                </a:gsLst>
                <a:lin ang="5400000" scaled="0"/>
              </a:gradFill>
              <a:ln w="19050">
                <a:solidFill>
                  <a:schemeClr val="lt1"/>
                </a:solidFill>
              </a:ln>
              <a:effectLst/>
            </c:spPr>
          </c:dPt>
          <c:dPt>
            <c:idx val="5"/>
            <c:bubble3D val="0"/>
            <c:spPr bwMode="auto">
              <a:prstGeom prst="rect">
                <a:avLst/>
              </a:prstGeom>
              <a:gradFill>
                <a:gsLst>
                  <a:gs pos="0">
                    <a:schemeClr val="accent6"/>
                  </a:gs>
                  <a:gs pos="100000">
                    <a:schemeClr val="accent6">
                      <a:lumMod val="60000"/>
                      <a:lumOff val="40000"/>
                    </a:schemeClr>
                  </a:gs>
                </a:gsLst>
                <a:lin ang="5400000" scaled="0"/>
              </a:gradFill>
              <a:ln w="19050">
                <a:solidFill>
                  <a:schemeClr val="lt1"/>
                </a:solidFill>
              </a:ln>
              <a:effectLst/>
            </c:spPr>
          </c:dPt>
          <c:dPt>
            <c:idx val="6"/>
            <c:bubble3D val="0"/>
            <c:spPr bwMode="auto">
              <a:prstGeom prst="rect">
                <a:avLst/>
              </a:prstGeom>
              <a:gradFill>
                <a:gsLst>
                  <a:gs pos="0">
                    <a:schemeClr val="accent1">
                      <a:lumMod val="60000"/>
                    </a:schemeClr>
                  </a:gs>
                  <a:gs pos="100000">
                    <a:schemeClr val="accent1">
                      <a:lumMod val="60000"/>
                      <a:lumMod val="60000"/>
                      <a:lumOff val="40000"/>
                    </a:schemeClr>
                  </a:gs>
                </a:gsLst>
                <a:lin ang="5400000" scaled="0"/>
              </a:gradFill>
              <a:ln w="19050">
                <a:solidFill>
                  <a:schemeClr val="lt1"/>
                </a:solidFill>
              </a:ln>
              <a:effectLst/>
            </c:spPr>
          </c:dPt>
          <c:dPt>
            <c:idx val="7"/>
            <c:bubble3D val="0"/>
            <c:spPr bwMode="auto">
              <a:prstGeom prst="rect">
                <a:avLst/>
              </a:prstGeom>
              <a:gradFill>
                <a:gsLst>
                  <a:gs pos="0">
                    <a:schemeClr val="accent2">
                      <a:lumMod val="60000"/>
                    </a:schemeClr>
                  </a:gs>
                  <a:gs pos="100000">
                    <a:schemeClr val="accent2">
                      <a:lumMod val="60000"/>
                      <a:lumMod val="60000"/>
                      <a:lumOff val="40000"/>
                    </a:schemeClr>
                  </a:gs>
                </a:gsLst>
                <a:lin ang="5400000" scaled="0"/>
              </a:gradFill>
              <a:ln w="19050">
                <a:solidFill>
                  <a:schemeClr val="lt1"/>
                </a:solidFill>
              </a:ln>
              <a:effectLst/>
            </c:spPr>
          </c:dPt>
          <c:dPt>
            <c:idx val="8"/>
            <c:bubble3D val="0"/>
            <c:spPr bwMode="auto">
              <a:prstGeom prst="rect">
                <a:avLst/>
              </a:prstGeom>
              <a:gradFill>
                <a:gsLst>
                  <a:gs pos="0">
                    <a:schemeClr val="accent3">
                      <a:lumMod val="60000"/>
                    </a:schemeClr>
                  </a:gs>
                  <a:gs pos="100000">
                    <a:schemeClr val="accent3">
                      <a:lumMod val="60000"/>
                      <a:lumMod val="60000"/>
                      <a:lumOff val="40000"/>
                    </a:schemeClr>
                  </a:gs>
                </a:gsLst>
                <a:lin ang="5400000" scaled="0"/>
              </a:gradFill>
              <a:ln w="19050">
                <a:solidFill>
                  <a:schemeClr val="lt1"/>
                </a:solidFill>
              </a:ln>
              <a:effectLst/>
            </c:spPr>
          </c:dPt>
          <c:dPt>
            <c:idx val="9"/>
            <c:bubble3D val="0"/>
            <c:spPr bwMode="auto">
              <a:prstGeom prst="rect">
                <a:avLst/>
              </a:prstGeom>
              <a:gradFill>
                <a:gsLst>
                  <a:gs pos="0">
                    <a:schemeClr val="accent4">
                      <a:lumMod val="60000"/>
                    </a:schemeClr>
                  </a:gs>
                  <a:gs pos="100000">
                    <a:schemeClr val="accent4">
                      <a:lumMod val="60000"/>
                      <a:lumMod val="60000"/>
                      <a:lumOff val="40000"/>
                    </a:schemeClr>
                  </a:gs>
                </a:gsLst>
                <a:lin ang="5400000" scaled="0"/>
              </a:gradFill>
              <a:ln w="19050">
                <a:solidFill>
                  <a:schemeClr val="lt1"/>
                </a:solidFill>
              </a:ln>
              <a:effectLst/>
            </c:spPr>
          </c:dPt>
          <c:dPt>
            <c:idx val="10"/>
            <c:bubble3D val="0"/>
            <c:spPr bwMode="auto">
              <a:prstGeom prst="rect">
                <a:avLst/>
              </a:prstGeom>
              <a:gradFill>
                <a:gsLst>
                  <a:gs pos="0">
                    <a:schemeClr val="accent5">
                      <a:lumMod val="60000"/>
                    </a:schemeClr>
                  </a:gs>
                  <a:gs pos="100000">
                    <a:schemeClr val="accent5">
                      <a:lumMod val="60000"/>
                      <a:lumMod val="60000"/>
                      <a:lumOff val="40000"/>
                    </a:schemeClr>
                  </a:gs>
                </a:gsLst>
                <a:lin ang="5400000" scaled="0"/>
              </a:gradFill>
              <a:ln w="19050">
                <a:solidFill>
                  <a:schemeClr val="lt1"/>
                </a:solidFill>
              </a:ln>
              <a:effectLst/>
            </c:spPr>
          </c:dPt>
          <c:dPt>
            <c:idx val="11"/>
            <c:bubble3D val="0"/>
            <c:spPr bwMode="auto">
              <a:prstGeom prst="rect">
                <a:avLst/>
              </a:prstGeom>
              <a:gradFill>
                <a:gsLst>
                  <a:gs pos="0">
                    <a:schemeClr val="accent6">
                      <a:lumMod val="60000"/>
                    </a:schemeClr>
                  </a:gs>
                  <a:gs pos="100000">
                    <a:schemeClr val="accent6">
                      <a:lumMod val="60000"/>
                      <a:lumMod val="60000"/>
                      <a:lumOff val="40000"/>
                    </a:schemeClr>
                  </a:gs>
                </a:gsLst>
                <a:lin ang="5400000" scaled="0"/>
              </a:gradFill>
              <a:ln w="19050">
                <a:solidFill>
                  <a:schemeClr val="lt1"/>
                </a:solidFill>
              </a:ln>
              <a:effectLst/>
            </c:spPr>
          </c:dPt>
          <c:dLbls>
            <c:dLblPos val="inEnd"/>
            <c:leaderLines>
              <c:spPr bwMode="auto">
                <a:prstGeom prst="rect">
                  <a:avLst/>
                </a:prstGeom>
                <a:ln w="9525" cap="flat" cmpd="sng" algn="ctr">
                  <a:solidFill>
                    <a:schemeClr val="dk1">
                      <a:lumMod val="35000"/>
                      <a:lumOff val="65000"/>
                    </a:schemeClr>
                  </a:solidFill>
                  <a:round/>
                </a:ln>
                <a:effectLst/>
              </c:spPr>
            </c:leaderLines>
            <c:showBubbleSize val="0"/>
            <c:showCatName val="0"/>
            <c:showLeaderLines val="1"/>
            <c:showLegendKey val="0"/>
            <c:showPercent val="1"/>
            <c:showSerName val="0"/>
            <c:showVal val="0"/>
            <c:spPr bwMode="auto">
              <a:prstGeom prst="rect">
                <a:avLst/>
              </a:prstGeom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098" tIns="19048" rIns="38098" bIns="19048" anchor="ctr" anchorCtr="1">
                <a:spAutoFit/>
              </a:bodyPr>
              <a:lstStyle/>
              <a:p>
                <a:pPr>
                  <a:defRPr sz="900" b="0" i="0" u="none" strike="noStrike">
                    <a:solidFill>
                      <a:schemeClr val="dk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</c:dLbls>
          <c:cat>
            <c:strRef>
              <c:f>Лист1!$A$2:$A$13</c:f>
              <c:strCache>
                <c:ptCount val="12"/>
                <c:pt idx="0">
                  <c:v>ТБО</c:v>
                </c:pt>
                <c:pt idx="1">
                  <c:v xml:space="preserve">Деятельность УК и ГЖИ НСО</c:v>
                </c:pt>
                <c:pt idx="2">
                  <c:v xml:space="preserve">Капитальный ремонт МКД</c:v>
                </c:pt>
                <c:pt idx="3">
                  <c:v>Газификация</c:v>
                </c:pt>
                <c:pt idx="4">
                  <c:v xml:space="preserve">Переселение из аварийного и ветхого жилья</c:v>
                </c:pt>
                <c:pt idx="5">
                  <c:v>Водоснабжение</c:v>
                </c:pt>
                <c:pt idx="6">
                  <c:v xml:space="preserve">Оплата за коммунальные услуги, отопление, взносы на капремонт</c:v>
                </c:pt>
                <c:pt idx="7">
                  <c:v>Благоустройство</c:v>
                </c:pt>
                <c:pt idx="8">
                  <c:v>Теплоснабжение</c:v>
                </c:pt>
                <c:pt idx="9">
                  <c:v>Электроснабжение</c:v>
                </c:pt>
                <c:pt idx="10">
                  <c:v>Канализация</c:v>
                </c:pt>
                <c:pt idx="11">
                  <c:v>ЧС</c:v>
                </c:pt>
              </c:strCache>
            </c:strRef>
          </c:cat>
          <c:val>
            <c:numRef>
              <c:f>Лист1!$B$2:$B$13</c:f>
              <c:numCache>
                <c:formatCode>General</c:formatCode>
                <c:ptCount val="12"/>
                <c:pt idx="0">
                  <c:v>89</c:v>
                </c:pt>
                <c:pt idx="1">
                  <c:v>62</c:v>
                </c:pt>
                <c:pt idx="2">
                  <c:v>197</c:v>
                </c:pt>
                <c:pt idx="3">
                  <c:v>104</c:v>
                </c:pt>
                <c:pt idx="4">
                  <c:v>92</c:v>
                </c:pt>
                <c:pt idx="5">
                  <c:v>91</c:v>
                </c:pt>
                <c:pt idx="6">
                  <c:v>18</c:v>
                </c:pt>
                <c:pt idx="7">
                  <c:v>47</c:v>
                </c:pt>
                <c:pt idx="8">
                  <c:v>50</c:v>
                </c:pt>
                <c:pt idx="9">
                  <c:v>78</c:v>
                </c:pt>
                <c:pt idx="10">
                  <c:v>19</c:v>
                </c:pt>
                <c:pt idx="11">
                  <c:v>4</c:v>
                </c:pt>
              </c:numCache>
            </c:numRef>
          </c:val>
        </c:ser>
        <c:dLbls>
          <c:dLblPos val="inEnd"/>
          <c:showBubbleSize val="0"/>
          <c:showCatName val="0"/>
          <c:showLeaderLines val="1"/>
          <c:showLegendKey val="0"/>
          <c:showPercent val="1"/>
          <c:showSerName val="0"/>
          <c:showVal val="0"/>
        </c:dLbls>
        <c:firstSliceAng val="0"/>
      </c:pieChart>
      <c:spPr bwMode="auto">
        <a:prstGeom prst="rect">
          <a:avLst/>
        </a:prstGeom>
        <a:noFill/>
        <a:ln>
          <a:noFill/>
        </a:ln>
        <a:effectLst/>
      </c:spPr>
    </c:plotArea>
    <c:legend>
      <c:legendPos val="r"/>
      <c:layout>
        <c:manualLayout>
          <c:xMode val="edge"/>
          <c:yMode val="edge"/>
          <c:x val="0.654440"/>
          <c:y val="0.023060"/>
          <c:w val="0.329560"/>
          <c:h val="0.957540"/>
        </c:manualLayout>
      </c:layout>
      <c:overlay val="0"/>
      <c:spPr bwMode="auto">
        <a:prstGeom prst="rect">
          <a:avLst/>
        </a:prstGeom>
        <a:solidFill>
          <a:schemeClr val="lt1">
            <a:alpha val="50000"/>
          </a:schemeClr>
        </a:solidFill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>
              <a:solidFill>
                <a:schemeClr val="dk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 bwMode="auto">
    <a:xfrm rot="0" flipH="0" flipV="0">
      <a:off x="0" y="0"/>
      <a:ext cx="5557959" cy="3275937"/>
    </a:xfrm>
    <a:prstGeom prst="rect">
      <a:avLst/>
    </a:prstGeom>
    <a:pattFill prst="dkDnDiag">
      <a:fgClr>
        <a:schemeClr val="lt1"/>
      </a:fgClr>
      <a:bgClr>
        <a:schemeClr val="dk1">
          <a:lumMod val="10000"/>
          <a:lumOff val="90000"/>
        </a:schemeClr>
      </a:bgClr>
    </a:pattFill>
    <a:ln w="9525" cap="flat" cmpd="sng" algn="ctr">
      <a:solidFill>
        <a:schemeClr val="dk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56">
  <cs:axisTitle>
    <cs:lnRef idx="0"/>
    <cs:fillRef idx="0"/>
    <cs:effectRef idx="0"/>
    <cs:fontRef idx="minor">
      <a:schemeClr val="dk1">
        <a:lumMod val="65000"/>
        <a:lumOff val="35000"/>
      </a:schemeClr>
    </cs:fontRef>
    <cs:defRPr sz="900" b="1"/>
  </cs:axisTitle>
  <cs:categoryAxis>
    <cs:lnRef idx="0"/>
    <cs:fillRef idx="0"/>
    <cs:effectRef idx="0"/>
    <cs:fontRef idx="minor">
      <a:schemeClr val="dk1">
        <a:lumMod val="65000"/>
        <a:lumOff val="35000"/>
      </a:schemeClr>
    </cs:fontRef>
    <cs:defRPr sz="900" cap="none" spc="0"/>
  </cs:categoryAxis>
  <cs:chartArea>
    <cs:lnRef idx="0"/>
    <cs:fillRef idx="0"/>
    <cs:effectRef idx="0"/>
    <cs:fontRef idx="minor">
      <a:schemeClr val="dk1"/>
    </cs:fontRef>
    <cs:spPr bwMode="auto">
      <a:prstGeom prst="rect">
        <a:avLst/>
      </a:prstGeom>
      <a:pattFill prst="dkDnDiag">
        <a:fgClr>
          <a:schemeClr val="lt1"/>
        </a:fgClr>
        <a:bgClr>
          <a:schemeClr val="dk1">
            <a:lumMod val="10000"/>
            <a:lumOff val="90000"/>
          </a:schemeClr>
        </a:bgClr>
      </a:pattFill>
      <a:ln w="9525" cap="flat" cmpd="sng" algn="ctr">
        <a:solidFill>
          <a:schemeClr val="dk1">
            <a:lumMod val="15000"/>
            <a:lumOff val="85000"/>
          </a:schemeClr>
        </a:solidFill>
        <a:round/>
      </a:ln>
    </cs:spPr>
    <cs:defRPr sz="900"/>
  </cs:chartArea>
  <cs:dataLabel>
    <cs:lnRef idx="0"/>
    <cs:fillRef idx="0"/>
    <cs:effectRef idx="0"/>
    <cs:fontRef idx="minor">
      <a:schemeClr val="dk1">
        <a:lumMod val="75000"/>
        <a:lumOff val="25000"/>
      </a:schemeClr>
    </cs:fontRef>
    <cs:defRPr sz="900"/>
  </cs:dataLabel>
  <cs:dataPoint>
    <cs:lnRef idx="0"/>
    <cs:fillRef idx="0">
      <cs:styleClr val="auto"/>
    </cs:fillRef>
    <cs:effectRef idx="0"/>
    <cs:fontRef idx="minor">
      <a:schemeClr val="tx1"/>
    </cs:fontRef>
    <cs:spPr bwMode="auto">
      <a:prstGeom prst="rect">
        <a:avLst/>
      </a:prstGeom>
      <a:gradFill>
        <a:gsLst>
          <a:gs pos="0">
            <a:schemeClr val="phClr"/>
          </a:gs>
          <a:gs pos="100000">
            <a:schemeClr val="phClr">
              <a:lumMod val="60000"/>
              <a:lumOff val="40000"/>
            </a:schemeClr>
          </a:gs>
        </a:gsLst>
        <a:lin ang="5400000" scaled="0"/>
      </a:gradFill>
      <a:ln w="19050">
        <a:solidFill>
          <a:schemeClr val="lt1"/>
        </a:solidFill>
      </a:ln>
    </cs:spPr>
  </cs:dataPoint>
  <cs:dataPoint3D>
    <cs:lnRef idx="0"/>
    <cs:fillRef idx="0">
      <cs:styleClr val="auto"/>
    </cs:fillRef>
    <cs:effectRef idx="0"/>
    <cs:fontRef idx="minor">
      <a:schemeClr val="tx1"/>
    </cs:fontRef>
    <cs:spPr bwMode="auto">
      <a:prstGeom prst="rect">
        <a:avLst/>
      </a:prstGeom>
      <a:gradFill>
        <a:gsLst>
          <a:gs pos="0">
            <a:schemeClr val="phClr"/>
          </a:gs>
          <a:gs pos="100000">
            <a:schemeClr val="phClr">
              <a:lumMod val="60000"/>
              <a:lumOff val="40000"/>
            </a:schemeClr>
          </a:gs>
        </a:gsLst>
        <a:lin ang="5400000" scaled="0"/>
      </a:gradFill>
      <a:ln w="50800">
        <a:solidFill>
          <a:schemeClr val="lt1"/>
        </a:solidFill>
      </a:ln>
    </cs:spPr>
  </cs:dataPoint3D>
  <cs:dataPointLine>
    <cs:lnRef idx="0">
      <cs:styleClr val="auto"/>
    </cs:lnRef>
    <cs:fillRef idx="0"/>
    <cs:effectRef idx="0"/>
    <cs:fontRef idx="minor">
      <a:schemeClr val="dk1"/>
    </cs:fontRef>
    <cs:spPr bwMode="auto">
      <a:prstGeom prst="rect">
        <a:avLst/>
      </a:prstGeom>
      <a:ln w="2222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0">
      <cs:styleClr val="auto"/>
    </cs:fillRef>
    <cs:effectRef idx="0"/>
    <cs:fontRef idx="minor">
      <a:schemeClr val="dk1"/>
    </cs:fontRef>
    <cs:spPr bwMode="auto">
      <a:prstGeom prst="rect">
        <a:avLst/>
      </a:prstGeom>
      <a:solidFill>
        <a:schemeClr val="lt1"/>
      </a:solidFill>
      <a:ln w="15875">
        <a:solidFill>
          <a:schemeClr val="phClr"/>
        </a:solidFill>
        <a:round/>
      </a:ln>
    </cs:spPr>
  </cs:dataPointMarker>
  <cs:dataPointWireframe>
    <cs:lnRef idx="0">
      <cs:styleClr val="auto"/>
    </cs:lnRef>
    <cs:fillRef idx="0"/>
    <cs:effectRef idx="0"/>
    <cs:fontRef idx="minor">
      <a:schemeClr val="dk1"/>
    </cs:fontRef>
    <cs:spPr bwMode="auto">
      <a:prstGeom prst="rect">
        <a:avLst/>
      </a:prstGeom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dk1">
        <a:lumMod val="65000"/>
        <a:lumOff val="35000"/>
      </a:schemeClr>
    </cs:fontRef>
    <cs:spPr bwMode="auto">
      <a:prstGeom prst="rect">
        <a:avLst/>
      </a:prstGeom>
      <a:ln w="9525" cap="flat" cmpd="sng" algn="ctr">
        <a:solidFill>
          <a:schemeClr val="dk1">
            <a:lumMod val="15000"/>
            <a:lumOff val="85000"/>
          </a:schemeClr>
        </a:solidFill>
        <a:round/>
      </a:ln>
    </cs:spPr>
    <cs:defRPr sz="800"/>
  </cs:dataTable>
  <cs:downBar>
    <cs:lnRef idx="0"/>
    <cs:fillRef idx="0"/>
    <cs:effectRef idx="0"/>
    <cs:fontRef idx="minor">
      <a:schemeClr val="dk1"/>
    </cs:fontRef>
    <cs:spPr bwMode="auto">
      <a:prstGeom prst="rect">
        <a:avLst/>
      </a:prstGeom>
      <a:solidFill>
        <a:schemeClr val="dk1">
          <a:lumMod val="75000"/>
          <a:lumOff val="25000"/>
        </a:schemeClr>
      </a:solidFill>
      <a:ln w="9525" cap="flat" cmpd="sng" algn="ctr">
        <a:solidFill>
          <a:schemeClr val="dk1">
            <a:lumMod val="50000"/>
            <a:lumOff val="50000"/>
          </a:schemeClr>
        </a:solidFill>
        <a:round/>
      </a:ln>
    </cs:spPr>
  </cs:downBar>
  <cs:dropLine>
    <cs:lnRef idx="0"/>
    <cs:fillRef idx="0"/>
    <cs:effectRef idx="0"/>
    <cs:fontRef idx="minor">
      <a:schemeClr val="dk1"/>
    </cs:fontRef>
    <cs:spPr bwMode="auto">
      <a:prstGeom prst="rect">
        <a:avLst/>
      </a:prstGeom>
      <a:ln w="9525" cap="flat" cmpd="sng" algn="ctr">
        <a:solidFill>
          <a:schemeClr val="dk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dk1"/>
    </cs:fontRef>
    <cs:spPr bwMode="auto">
      <a:prstGeom prst="rect">
        <a:avLst/>
      </a:prstGeom>
      <a:ln w="9525" cap="flat" cmpd="sng" algn="ctr">
        <a:solidFill>
          <a:schemeClr val="dk1">
            <a:lumMod val="50000"/>
            <a:lumOff val="50000"/>
          </a:schemeClr>
        </a:solidFill>
        <a:round/>
      </a:ln>
    </cs:spPr>
  </cs:errorBar>
  <cs:floor>
    <cs:lnRef idx="0"/>
    <cs:fillRef idx="0"/>
    <cs:effectRef idx="0"/>
    <cs:fontRef idx="minor">
      <a:schemeClr val="dk1"/>
    </cs:fontRef>
  </cs:floor>
  <cs:gridlineMajor>
    <cs:lnRef idx="0"/>
    <cs:fillRef idx="0"/>
    <cs:effectRef idx="0"/>
    <cs:fontRef idx="minor">
      <a:schemeClr val="dk1"/>
    </cs:fontRef>
    <cs:spPr bwMode="auto">
      <a:prstGeom prst="rect">
        <a:avLst/>
      </a:prstGeom>
      <a:ln w="9525" cap="flat" cmpd="sng" algn="ctr">
        <a:solidFill>
          <a:schemeClr val="dk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dk1"/>
    </cs:fontRef>
    <cs:spPr bwMode="auto">
      <a:prstGeom prst="rect">
        <a:avLst/>
      </a:prstGeom>
      <a:ln w="9525" cap="flat" cmpd="sng" algn="ctr">
        <a:solidFill>
          <a:schemeClr val="dk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dk1"/>
    </cs:fontRef>
    <cs:spPr bwMode="auto">
      <a:prstGeom prst="rect">
        <a:avLst/>
      </a:prstGeom>
      <a:ln w="9525" cap="flat" cmpd="sng" algn="ctr">
        <a:solidFill>
          <a:schemeClr val="dk1">
            <a:lumMod val="35000"/>
            <a:lumOff val="65000"/>
          </a:schemeClr>
        </a:solidFill>
        <a:round/>
      </a:ln>
    </cs:spPr>
  </cs:hiLoLine>
  <cs:leaderLine>
    <cs:lnRef idx="0"/>
    <cs:fillRef idx="0"/>
    <cs:effectRef idx="0"/>
    <cs:fontRef idx="minor">
      <a:schemeClr val="dk1"/>
    </cs:fontRef>
    <cs:spPr bwMode="auto">
      <a:prstGeom prst="rect">
        <a:avLst/>
      </a:prstGeom>
      <a:ln w="9525" cap="flat" cmpd="sng" algn="ctr">
        <a:solidFill>
          <a:schemeClr val="dk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dk1">
        <a:lumMod val="65000"/>
        <a:lumOff val="35000"/>
      </a:schemeClr>
    </cs:fontRef>
    <cs:spPr bwMode="auto">
      <a:prstGeom prst="rect">
        <a:avLst/>
      </a:prstGeom>
      <a:solidFill>
        <a:schemeClr val="lt1">
          <a:alpha val="50000"/>
        </a:schemeClr>
      </a:solidFill>
    </cs:spPr>
    <cs:defRPr sz="900"/>
  </cs:legend>
  <cs:plotArea>
    <cs:lnRef idx="0"/>
    <cs:fillRef idx="0"/>
    <cs:effectRef idx="0"/>
    <cs:fontRef idx="minor">
      <a:schemeClr val="dk1"/>
    </cs:fontRef>
  </cs:plotArea>
  <cs:plotArea3D>
    <cs:lnRef idx="0"/>
    <cs:fillRef idx="0"/>
    <cs:effectRef idx="0"/>
    <cs:fontRef idx="minor">
      <a:schemeClr val="dk1"/>
    </cs:fontRef>
  </cs:plotArea3D>
  <cs:seriesAxis>
    <cs:lnRef idx="0"/>
    <cs:fillRef idx="0"/>
    <cs:effectRef idx="0"/>
    <cs:fontRef idx="minor">
      <a:schemeClr val="dk1">
        <a:lumMod val="65000"/>
        <a:lumOff val="35000"/>
      </a:schemeClr>
    </cs:fontRef>
    <cs:defRPr sz="900"/>
  </cs:seriesAxis>
  <cs:seriesLine>
    <cs:lnRef idx="0"/>
    <cs:fillRef idx="0"/>
    <cs:effectRef idx="0"/>
    <cs:fontRef idx="minor">
      <a:schemeClr val="dk1"/>
    </cs:fontRef>
    <cs:spPr bwMode="auto">
      <a:prstGeom prst="rect">
        <a:avLst/>
      </a:prstGeom>
      <a:ln w="9525" cap="flat" cmpd="sng" algn="ctr">
        <a:solidFill>
          <a:schemeClr val="dk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ajor">
      <a:schemeClr val="dk1">
        <a:lumMod val="50000"/>
        <a:lumOff val="50000"/>
      </a:schemeClr>
    </cs:fontRef>
    <cs:defRPr sz="1600" b="1" spc="0"/>
  </cs:title>
  <cs:trendline>
    <cs:lnRef idx="0">
      <cs:styleClr val="auto"/>
    </cs:lnRef>
    <cs:fillRef idx="0"/>
    <cs:effectRef idx="0"/>
    <cs:fontRef idx="minor">
      <a:schemeClr val="dk1"/>
    </cs:fontRef>
    <cs:spPr bwMode="auto">
      <a:prstGeom prst="rect">
        <a:avLst/>
      </a:prstGeom>
      <a:ln w="19050" cap="rnd">
        <a:solidFill>
          <a:schemeClr val="phClr"/>
        </a:solidFill>
      </a:ln>
    </cs:spPr>
  </cs:trendline>
  <cs:trendlineLabel>
    <cs:lnRef idx="0"/>
    <cs:fillRef idx="0"/>
    <cs:effectRef idx="0"/>
    <cs:fontRef idx="minor">
      <a:schemeClr val="dk1">
        <a:lumMod val="65000"/>
        <a:lumOff val="35000"/>
      </a:schemeClr>
    </cs:fontRef>
    <cs:defRPr sz="900"/>
  </cs:trendlineLabel>
  <cs:upBar>
    <cs:lnRef idx="0"/>
    <cs:fillRef idx="0"/>
    <cs:effectRef idx="0"/>
    <cs:fontRef idx="minor">
      <a:schemeClr val="dk1"/>
    </cs:fontRef>
    <cs:spPr bwMode="auto">
      <a:prstGeom prst="rect">
        <a:avLst/>
      </a:prstGeom>
      <a:solidFill>
        <a:schemeClr val="lt1"/>
      </a:solidFill>
      <a:ln w="9525" cap="flat" cmpd="sng" algn="ctr">
        <a:solidFill>
          <a:schemeClr val="dk1">
            <a:lumMod val="50000"/>
            <a:lumOff val="50000"/>
          </a:schemeClr>
        </a:solidFill>
        <a:round/>
      </a:ln>
    </cs:spPr>
  </cs:upBar>
  <cs:valueAxis>
    <cs:lnRef idx="0"/>
    <cs:fillRef idx="0"/>
    <cs:effectRef idx="0"/>
    <cs:fontRef idx="minor">
      <a:schemeClr val="dk1">
        <a:lumMod val="65000"/>
        <a:lumOff val="35000"/>
      </a:schemeClr>
    </cs:fontRef>
    <cs:defRPr sz="900"/>
  </cs:valueAxis>
  <cs:wall>
    <cs:lnRef idx="0"/>
    <cs:fillRef idx="0"/>
    <cs:effectRef idx="0"/>
    <cs:fontRef idx="minor">
      <a:schemeClr val="dk1"/>
    </cs:fontRef>
  </cs:wall>
  <cs:dataPointMarkerLayout symbol="circle" size="6"/>
</cs:chartStyle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иний II">
      <a:dk1>
        <a:sysClr val="windowText" lastClr="000000"/>
      </a:dk1>
      <a:lt1>
        <a:sysClr val="window" lastClr="FFFFFF"/>
      </a:lt1>
      <a:dk2>
        <a:srgbClr val="335B74"/>
      </a:dk2>
      <a:lt2>
        <a:srgbClr val="DFE3E5"/>
      </a:lt2>
      <a:accent1>
        <a:srgbClr val="1CADE4"/>
      </a:accent1>
      <a:accent2>
        <a:srgbClr val="2683C6"/>
      </a:accent2>
      <a:accent3>
        <a:srgbClr val="27CED7"/>
      </a:accent3>
      <a:accent4>
        <a:srgbClr val="42BA97"/>
      </a:accent4>
      <a:accent5>
        <a:srgbClr val="3E8853"/>
      </a:accent5>
      <a:accent6>
        <a:srgbClr val="62A39F"/>
      </a:accent6>
      <a:hlink>
        <a:srgbClr val="6EAC1C"/>
      </a:hlink>
      <a:folHlink>
        <a:srgbClr val="B26B0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AA94EF2-27BE-4DCE-AF8B-A395533B80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Р7-Офис/2024.3.1.487</Application>
  <Company>АГНОиПНО</Company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Михалицына Полина Евгеньевна</dc:creator>
  <cp:revision>55</cp:revision>
  <dcterms:created xsi:type="dcterms:W3CDTF">2022-10-05T09:26:00Z</dcterms:created>
  <dcterms:modified xsi:type="dcterms:W3CDTF">2024-10-11T02:35:50Z</dcterms:modified>
</cp:coreProperties>
</file>