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4550" w:rsidRDefault="00C61A4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Информационно-аналитический обзор и результаты рассмотрения обращений граждан, поступивших в министерство жилищно-коммунального хозяйства и энергетики НСО за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="00A37B6A">
        <w:rPr>
          <w:rFonts w:ascii="Times New Roman" w:hAnsi="Times New Roman" w:cs="Times New Roman"/>
          <w:b/>
          <w:sz w:val="28"/>
          <w:szCs w:val="28"/>
        </w:rPr>
        <w:t xml:space="preserve"> квартал 2024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EA4550" w:rsidRDefault="00EA4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550" w:rsidRDefault="00C61A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по рассмотрению обращений граждан в министерстве жилищно-коммунального хозяйства и энергетики Новосибирской области (далее-министерство) осуществляется в соответствии с Конституцией Российской Федерации, Федеральным законом от 02.05.2006 №59-ФЗ «О порядке рассмотрения обращений граждан Российской Федерации», действующим федеральным и областным законодательством, нормативными правовыми актами Новосибирской области и министерства.</w:t>
      </w:r>
    </w:p>
    <w:p w:rsidR="00EA4550" w:rsidRDefault="00C61A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Организацию работы по объективному, всестороннему и своевременному рассмотрению обращений осуществляет отдел организационно-правового и кадрового обеспечения министерства. </w:t>
      </w:r>
    </w:p>
    <w:p w:rsidR="00EA4550" w:rsidRDefault="00C61A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Требования к организации работы с обращениями граждан, организаций и общественных объединений и проведению личного приема граждан в министерстве установ</w:t>
      </w:r>
      <w:r w:rsidR="000E57D9">
        <w:rPr>
          <w:rFonts w:ascii="Times New Roman" w:hAnsi="Times New Roman" w:cs="Times New Roman"/>
          <w:sz w:val="28"/>
          <w:szCs w:val="28"/>
        </w:rPr>
        <w:t>лены приказом министерства от 26</w:t>
      </w:r>
      <w:r>
        <w:rPr>
          <w:rFonts w:ascii="Times New Roman" w:hAnsi="Times New Roman" w:cs="Times New Roman"/>
          <w:sz w:val="28"/>
          <w:szCs w:val="28"/>
        </w:rPr>
        <w:t>.0</w:t>
      </w:r>
      <w:r w:rsidR="000E57D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.202</w:t>
      </w:r>
      <w:r w:rsidR="000E57D9">
        <w:rPr>
          <w:rFonts w:ascii="Times New Roman" w:hAnsi="Times New Roman" w:cs="Times New Roman"/>
          <w:sz w:val="28"/>
          <w:szCs w:val="28"/>
        </w:rPr>
        <w:t>4 № 52-НПА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инструкции о порядке организации работы с обращениями граждан в министерстве жилищно-коммунального хозяйства и энергетики Новосибирской области».</w:t>
      </w:r>
    </w:p>
    <w:p w:rsidR="00EA4550" w:rsidRDefault="00BD049F" w:rsidP="00C623D0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с 01.04.202</w:t>
      </w:r>
      <w:r w:rsidR="00C623D0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по 28</w:t>
      </w:r>
      <w:r w:rsidR="00C61A46">
        <w:rPr>
          <w:rFonts w:ascii="Times New Roman" w:hAnsi="Times New Roman" w:cs="Times New Roman"/>
          <w:sz w:val="28"/>
          <w:szCs w:val="28"/>
        </w:rPr>
        <w:t>.06.202</w:t>
      </w:r>
      <w:r w:rsidR="00C623D0">
        <w:rPr>
          <w:rFonts w:ascii="Times New Roman" w:hAnsi="Times New Roman" w:cs="Times New Roman"/>
          <w:sz w:val="28"/>
          <w:szCs w:val="28"/>
        </w:rPr>
        <w:t>4</w:t>
      </w:r>
      <w:r w:rsidR="00C61A46">
        <w:rPr>
          <w:rFonts w:ascii="Times New Roman" w:hAnsi="Times New Roman" w:cs="Times New Roman"/>
          <w:sz w:val="28"/>
          <w:szCs w:val="28"/>
        </w:rPr>
        <w:t xml:space="preserve"> в министерство поступило </w:t>
      </w:r>
      <w:r w:rsidR="00C26CBD">
        <w:rPr>
          <w:rFonts w:ascii="Times New Roman" w:hAnsi="Times New Roman" w:cs="Times New Roman"/>
          <w:b/>
          <w:sz w:val="28"/>
          <w:szCs w:val="28"/>
        </w:rPr>
        <w:t>783</w:t>
      </w:r>
      <w:r w:rsidR="00C61A46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61A46">
        <w:rPr>
          <w:rFonts w:ascii="Times New Roman" w:hAnsi="Times New Roman" w:cs="Times New Roman"/>
          <w:sz w:val="28"/>
          <w:szCs w:val="28"/>
        </w:rPr>
        <w:t xml:space="preserve">обращений граждан </w:t>
      </w:r>
      <w:r w:rsidR="00C61A46">
        <w:rPr>
          <w:rFonts w:ascii="Times New Roman" w:hAnsi="Times New Roman" w:cs="Times New Roman"/>
          <w:i/>
          <w:sz w:val="28"/>
          <w:szCs w:val="28"/>
        </w:rPr>
        <w:t>(</w:t>
      </w:r>
      <w:r w:rsidR="00C623D0">
        <w:rPr>
          <w:rFonts w:ascii="Times New Roman" w:hAnsi="Times New Roman" w:cs="Times New Roman"/>
          <w:i/>
          <w:sz w:val="28"/>
          <w:szCs w:val="28"/>
        </w:rPr>
        <w:t xml:space="preserve">во 2 квартале 2023 – 1036, </w:t>
      </w:r>
      <w:r w:rsidR="00C61A46">
        <w:rPr>
          <w:rFonts w:ascii="Times New Roman" w:hAnsi="Times New Roman" w:cs="Times New Roman"/>
          <w:i/>
          <w:sz w:val="28"/>
          <w:szCs w:val="28"/>
        </w:rPr>
        <w:t xml:space="preserve">во 2 квартале 2022 – 1050, </w:t>
      </w:r>
    </w:p>
    <w:p w:rsidR="00EA4550" w:rsidRDefault="00C61A4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во 2 квартале 2021 – 847, во 2 квартале 2020 – 594,</w:t>
      </w:r>
    </w:p>
    <w:p w:rsidR="00EA4550" w:rsidRDefault="00C61A46">
      <w:pPr>
        <w:spacing w:after="0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во 2 квартале 2019 - 869, во 2 квартале 2018 – 685,</w:t>
      </w:r>
    </w:p>
    <w:p w:rsidR="00EA4550" w:rsidRDefault="00C61A46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во 2 квартале 2017 - 653, во 2 квартале 2016 - 428)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A4550" w:rsidRDefault="00C61A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том числе: письменных обращений – </w:t>
      </w:r>
      <w:r w:rsidR="00423B58">
        <w:rPr>
          <w:rFonts w:ascii="Times New Roman" w:hAnsi="Times New Roman" w:cs="Times New Roman"/>
          <w:b/>
          <w:sz w:val="28"/>
          <w:szCs w:val="28"/>
        </w:rPr>
        <w:t>713</w:t>
      </w:r>
      <w:r>
        <w:rPr>
          <w:rFonts w:ascii="Times New Roman" w:hAnsi="Times New Roman" w:cs="Times New Roman"/>
          <w:sz w:val="28"/>
          <w:szCs w:val="28"/>
        </w:rPr>
        <w:t xml:space="preserve">, личный прием – </w:t>
      </w:r>
      <w:r w:rsidR="00C623D0">
        <w:rPr>
          <w:rFonts w:ascii="Times New Roman" w:hAnsi="Times New Roman" w:cs="Times New Roman"/>
          <w:b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, по справочному телефону – </w:t>
      </w:r>
      <w:r w:rsidR="00C623D0">
        <w:rPr>
          <w:rFonts w:ascii="Times New Roman" w:hAnsi="Times New Roman" w:cs="Times New Roman"/>
          <w:b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A4550" w:rsidRDefault="00EA4550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550" w:rsidRDefault="00C61A46">
      <w:pPr>
        <w:spacing w:after="0"/>
        <w:ind w:firstLine="708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EA4550" w:rsidRDefault="00EA4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550" w:rsidRDefault="00C61A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 сравнению с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кварталом 202</w:t>
      </w:r>
      <w:r w:rsidR="00C26CBD">
        <w:rPr>
          <w:rFonts w:ascii="Times New Roman" w:hAnsi="Times New Roman" w:cs="Times New Roman"/>
          <w:sz w:val="28"/>
          <w:szCs w:val="28"/>
        </w:rPr>
        <w:t>3 года (1036</w:t>
      </w:r>
      <w:r>
        <w:rPr>
          <w:rFonts w:ascii="Times New Roman" w:hAnsi="Times New Roman" w:cs="Times New Roman"/>
          <w:sz w:val="28"/>
          <w:szCs w:val="28"/>
        </w:rPr>
        <w:t xml:space="preserve">) общее количество обращений граждан в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C26CBD">
        <w:rPr>
          <w:rFonts w:ascii="Times New Roman" w:hAnsi="Times New Roman" w:cs="Times New Roman"/>
          <w:sz w:val="28"/>
          <w:szCs w:val="28"/>
        </w:rPr>
        <w:t>4 года (783) уменьшилось на 253</w:t>
      </w:r>
      <w:r>
        <w:rPr>
          <w:rFonts w:ascii="Times New Roman" w:hAnsi="Times New Roman" w:cs="Times New Roman"/>
          <w:sz w:val="28"/>
          <w:szCs w:val="28"/>
        </w:rPr>
        <w:t xml:space="preserve"> обращени</w:t>
      </w:r>
      <w:r w:rsidR="00C26CBD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80FE9" w:rsidRDefault="00280FE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4550" w:rsidRDefault="00EA45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4550" w:rsidRDefault="00C61A46" w:rsidP="00C26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1370965</wp:posOffset>
                </wp:positionH>
                <wp:positionV relativeFrom="paragraph">
                  <wp:posOffset>1522095</wp:posOffset>
                </wp:positionV>
                <wp:extent cx="514350" cy="240030"/>
                <wp:effectExtent l="0" t="0" r="0" b="7620"/>
                <wp:wrapNone/>
                <wp:docPr id="2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14350" cy="2400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4550" w:rsidRDefault="00C26CBD">
                            <w:r>
                              <w:t>783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107.95pt;margin-top:119.85pt;width:40.5pt;height:18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" filled="f" stroked="f" strokeweight=".5pt">
                <v:textbox>
                  <w:txbxContent>
                    <w:p w:rsidR="00EA4550" w:rsidRDefault="00C26CBD">
                      <w:r>
                        <w:t>783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3857156</wp:posOffset>
                </wp:positionH>
                <wp:positionV relativeFrom="paragraph">
                  <wp:posOffset>1487198</wp:posOffset>
                </wp:positionV>
                <wp:extent cx="596347" cy="278295"/>
                <wp:effectExtent l="0" t="0" r="0" b="7620"/>
                <wp:wrapNone/>
                <wp:docPr id="3" name="Надпись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596347" cy="27829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EA4550" w:rsidRDefault="00C61A46">
                            <w:r>
                              <w:t>1036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="http://schemas.openxmlformats.org/drawingml/2006/main">
            <w:pict>
              <v:shape id="shape 1" o:spid="_x0000_s1" o:spt="202" type="#_x0000_t202" style="position:absolute;z-index:251661312;o:allowoverlap:true;o:allowincell:true;mso-position-horizontal-relative:text;margin-left:303.71pt;mso-position-horizontal:absolute;mso-position-vertical-relative:text;margin-top:117.10pt;mso-position-vertical:absolute;width:46.96pt;height:21.91pt;mso-wrap-distance-left:9.00pt;mso-wrap-distance-top:0.00pt;mso-wrap-distance-right:9.00pt;mso-wrap-distance-bottom:0.00pt;v-text-anchor:top;visibility:visible;" filled="f" stroked="f" strokeweight="0.50pt">
                <v:textbox inset="0,0,0,0">
                  <w:txbxContent>
                    <w:p>
                      <w:r>
                        <w:t xml:space="preserve">1036</w:t>
                      </w:r>
                      <w:r/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8"/>
          <w:szCs w:val="28"/>
          <w:highlight w:val="green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249</wp:posOffset>
            </wp:positionV>
            <wp:extent cx="5486400" cy="3555752"/>
            <wp:effectExtent l="0" t="0" r="0" b="6985"/>
            <wp:wrapSquare wrapText="bothSides"/>
            <wp:docPr id="4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  <wp14:sizeRelV relativeFrom="margin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280FE9" w:rsidRPr="00C26CBD" w:rsidRDefault="00280FE9" w:rsidP="00C26CB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550" w:rsidRDefault="00C61A46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Письменные обращения граждан</w:t>
      </w:r>
    </w:p>
    <w:p w:rsidR="00EA4550" w:rsidRDefault="00EA45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4550" w:rsidRDefault="008D3C9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743 письменных обращений 290</w:t>
      </w:r>
      <w:r w:rsidR="00C61A46">
        <w:rPr>
          <w:rFonts w:ascii="Times New Roman" w:hAnsi="Times New Roman" w:cs="Times New Roman"/>
          <w:sz w:val="28"/>
          <w:szCs w:val="28"/>
        </w:rPr>
        <w:t xml:space="preserve"> обращени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="00C61A46">
        <w:rPr>
          <w:rFonts w:ascii="Times New Roman" w:hAnsi="Times New Roman" w:cs="Times New Roman"/>
          <w:sz w:val="28"/>
          <w:szCs w:val="28"/>
        </w:rPr>
        <w:t xml:space="preserve"> поступило на рассмотрение в министерство из общественной приемной Губерна</w:t>
      </w:r>
      <w:r>
        <w:rPr>
          <w:rFonts w:ascii="Times New Roman" w:hAnsi="Times New Roman" w:cs="Times New Roman"/>
          <w:sz w:val="28"/>
          <w:szCs w:val="28"/>
        </w:rPr>
        <w:t>тора Новосибирской области и 296</w:t>
      </w:r>
      <w:r w:rsidR="00C61A46">
        <w:rPr>
          <w:rFonts w:ascii="Times New Roman" w:hAnsi="Times New Roman" w:cs="Times New Roman"/>
          <w:sz w:val="28"/>
          <w:szCs w:val="28"/>
        </w:rPr>
        <w:t xml:space="preserve"> обращений поступило непосредственно в министерство. По поручению Губернатора Новосибирской области было рассмотрено и по</w:t>
      </w:r>
      <w:r>
        <w:rPr>
          <w:rFonts w:ascii="Times New Roman" w:hAnsi="Times New Roman" w:cs="Times New Roman"/>
          <w:sz w:val="28"/>
          <w:szCs w:val="28"/>
        </w:rPr>
        <w:t xml:space="preserve">дготовлено проектов ответов на </w:t>
      </w:r>
      <w:r w:rsidR="00C61A46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2</w:t>
      </w:r>
      <w:r w:rsidR="00C61A46">
        <w:rPr>
          <w:rFonts w:ascii="Times New Roman" w:hAnsi="Times New Roman" w:cs="Times New Roman"/>
          <w:sz w:val="28"/>
          <w:szCs w:val="28"/>
        </w:rPr>
        <w:t xml:space="preserve"> обращения граждан. По поручению заместителя Губернатора Петухова Ю.Ф., первого заместителя Председателя Правительства Новосибирской области Знаткова В.М. и заместителя Губернатора Сёмки С.Н. рассмотрено и подго</w:t>
      </w:r>
      <w:r>
        <w:rPr>
          <w:rFonts w:ascii="Times New Roman" w:hAnsi="Times New Roman" w:cs="Times New Roman"/>
          <w:sz w:val="28"/>
          <w:szCs w:val="28"/>
        </w:rPr>
        <w:t>товлено проектов ответов на 95</w:t>
      </w:r>
      <w:r w:rsidR="00C61A46">
        <w:rPr>
          <w:rFonts w:ascii="Times New Roman" w:hAnsi="Times New Roman" w:cs="Times New Roman"/>
          <w:sz w:val="28"/>
          <w:szCs w:val="28"/>
        </w:rPr>
        <w:t xml:space="preserve"> обраще</w:t>
      </w:r>
      <w:r>
        <w:rPr>
          <w:rFonts w:ascii="Times New Roman" w:hAnsi="Times New Roman" w:cs="Times New Roman"/>
          <w:sz w:val="28"/>
          <w:szCs w:val="28"/>
        </w:rPr>
        <w:t>ний. На личном приеме принято 30 граждан, зарегистрировано 30</w:t>
      </w:r>
      <w:r w:rsidR="00C61A46">
        <w:rPr>
          <w:rFonts w:ascii="Times New Roman" w:hAnsi="Times New Roman" w:cs="Times New Roman"/>
          <w:sz w:val="28"/>
          <w:szCs w:val="28"/>
        </w:rPr>
        <w:t xml:space="preserve"> карточек личного приема.</w:t>
      </w:r>
    </w:p>
    <w:p w:rsidR="00EA4550" w:rsidRDefault="00EA4550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4550" w:rsidRDefault="00C61A4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Личный прием</w:t>
      </w:r>
    </w:p>
    <w:p w:rsidR="00EA4550" w:rsidRDefault="00C61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постановлением Губернатора Новосибирской области от 25.12.2006 № 516 «О совершенствовании организации личных приемов граждан в администрации Губернатора Новосибирской области и Правительства Новосибирской области, областных исполнительных органах государственной власти Новосибирской области» установлен </w:t>
      </w:r>
      <w:r>
        <w:rPr>
          <w:rFonts w:ascii="Times New Roman" w:hAnsi="Times New Roman" w:cs="Times New Roman"/>
          <w:b/>
          <w:bCs/>
          <w:sz w:val="28"/>
          <w:szCs w:val="28"/>
        </w:rPr>
        <w:t>единый день личного приема</w:t>
      </w:r>
      <w:r>
        <w:rPr>
          <w:rFonts w:ascii="Times New Roman" w:hAnsi="Times New Roman" w:cs="Times New Roman"/>
          <w:bCs/>
          <w:sz w:val="28"/>
          <w:szCs w:val="28"/>
        </w:rPr>
        <w:t xml:space="preserve"> граждан </w:t>
      </w:r>
      <w:r>
        <w:rPr>
          <w:rFonts w:ascii="Times New Roman" w:hAnsi="Times New Roman" w:cs="Times New Roman"/>
          <w:sz w:val="28"/>
          <w:szCs w:val="28"/>
        </w:rPr>
        <w:t xml:space="preserve">Губернатором Новосибирской области, заместителями Губернатора Новосибирской области, руководителями структурных подразделений администрации Губернатора Новосибирской области и Правительства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Новосибирской области, руководителями областных исполнительных органов государственной власти Новосибирской области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каждая пятница месяца с 14.00.  </w:t>
      </w:r>
    </w:p>
    <w:p w:rsidR="00EA4550" w:rsidRDefault="00C61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квартале 202</w:t>
      </w:r>
      <w:r w:rsidR="005C4E7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5C4E7D">
        <w:rPr>
          <w:rFonts w:ascii="Times New Roman" w:hAnsi="Times New Roman" w:cs="Times New Roman"/>
          <w:sz w:val="28"/>
          <w:szCs w:val="28"/>
        </w:rPr>
        <w:t xml:space="preserve">исполняющий обязанности </w:t>
      </w:r>
      <w:r>
        <w:rPr>
          <w:rFonts w:ascii="Times New Roman" w:hAnsi="Times New Roman" w:cs="Times New Roman"/>
          <w:sz w:val="28"/>
          <w:szCs w:val="28"/>
        </w:rPr>
        <w:t>министр</w:t>
      </w:r>
      <w:r w:rsidR="005C4E7D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жилищно-коммунального хозяйства и энергетики Новосибирской области и уполномоченн</w:t>
      </w:r>
      <w:r w:rsidR="005C4E7D">
        <w:rPr>
          <w:rFonts w:ascii="Times New Roman" w:hAnsi="Times New Roman" w:cs="Times New Roman"/>
          <w:sz w:val="28"/>
          <w:szCs w:val="28"/>
        </w:rPr>
        <w:t>ые лица министерства приняли 30 человек по 30</w:t>
      </w:r>
      <w:r>
        <w:rPr>
          <w:rFonts w:ascii="Times New Roman" w:hAnsi="Times New Roman" w:cs="Times New Roman"/>
          <w:sz w:val="28"/>
          <w:szCs w:val="28"/>
        </w:rPr>
        <w:t xml:space="preserve"> вопросам. </w:t>
      </w:r>
    </w:p>
    <w:p w:rsidR="00EA4550" w:rsidRDefault="00C61A4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квартале 2023 года министр жилищно-коммунального хозяйства и энергетики Новосибирской области и уполномоченные лица министерства приняли 29 человека по 29 вопросам. </w:t>
      </w:r>
    </w:p>
    <w:p w:rsidR="00280FE9" w:rsidRDefault="00280FE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A4550" w:rsidRDefault="00EA4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550" w:rsidRDefault="00C61A46">
      <w:pPr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Тематика обращений граждан</w:t>
      </w:r>
    </w:p>
    <w:p w:rsidR="00EA4550" w:rsidRDefault="00C61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Письменные обращения граждан, поступившие в министерство, распределились по направлениям деятельности следующим образом:</w:t>
      </w:r>
    </w:p>
    <w:p w:rsidR="00EA4550" w:rsidRDefault="005F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ТКО/ТБО – 117</w:t>
      </w:r>
      <w:r w:rsidR="00C61A46">
        <w:rPr>
          <w:rFonts w:ascii="Times New Roman" w:hAnsi="Times New Roman" w:cs="Times New Roman"/>
          <w:sz w:val="28"/>
          <w:szCs w:val="28"/>
        </w:rPr>
        <w:t>,</w:t>
      </w:r>
    </w:p>
    <w:p w:rsidR="00EA4550" w:rsidRDefault="005F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Деятельность УК и ГЖИ НСО – 70</w:t>
      </w:r>
      <w:r w:rsidR="00C61A46">
        <w:rPr>
          <w:rFonts w:ascii="Times New Roman" w:hAnsi="Times New Roman" w:cs="Times New Roman"/>
          <w:sz w:val="28"/>
          <w:szCs w:val="28"/>
        </w:rPr>
        <w:t>,</w:t>
      </w:r>
    </w:p>
    <w:p w:rsidR="00EA4550" w:rsidRDefault="00C61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Капитальный р</w:t>
      </w:r>
      <w:r w:rsidR="005F0F1F">
        <w:rPr>
          <w:rFonts w:ascii="Times New Roman" w:hAnsi="Times New Roman" w:cs="Times New Roman"/>
          <w:sz w:val="28"/>
          <w:szCs w:val="28"/>
        </w:rPr>
        <w:t>емонт многоквартирных домов – 188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A4550" w:rsidRDefault="005F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Газификация – 68</w:t>
      </w:r>
      <w:r w:rsidR="00C61A46">
        <w:rPr>
          <w:rFonts w:ascii="Times New Roman" w:hAnsi="Times New Roman" w:cs="Times New Roman"/>
          <w:sz w:val="28"/>
          <w:szCs w:val="28"/>
        </w:rPr>
        <w:t>,</w:t>
      </w:r>
    </w:p>
    <w:p w:rsidR="00EA4550" w:rsidRDefault="00C61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Переселение из</w:t>
      </w:r>
      <w:r w:rsidR="005F0F1F">
        <w:rPr>
          <w:rFonts w:ascii="Times New Roman" w:hAnsi="Times New Roman" w:cs="Times New Roman"/>
          <w:sz w:val="28"/>
          <w:szCs w:val="28"/>
        </w:rPr>
        <w:t xml:space="preserve"> аварийного и ветхого жилья – 42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A4550" w:rsidRDefault="005F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Водоснабжение – 89</w:t>
      </w:r>
      <w:r w:rsidR="00C61A46">
        <w:rPr>
          <w:rFonts w:ascii="Times New Roman" w:hAnsi="Times New Roman" w:cs="Times New Roman"/>
          <w:sz w:val="28"/>
          <w:szCs w:val="28"/>
        </w:rPr>
        <w:t>,</w:t>
      </w:r>
    </w:p>
    <w:p w:rsidR="00EA4550" w:rsidRDefault="00C61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Оплата за коммунальные </w:t>
      </w:r>
      <w:r w:rsidR="005F0F1F">
        <w:rPr>
          <w:rFonts w:ascii="Times New Roman" w:hAnsi="Times New Roman" w:cs="Times New Roman"/>
          <w:sz w:val="28"/>
          <w:szCs w:val="28"/>
        </w:rPr>
        <w:t>услуги и за капремонт – 31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EA4550" w:rsidRDefault="005F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Благоустройство – 37</w:t>
      </w:r>
      <w:r w:rsidR="00C61A46">
        <w:rPr>
          <w:rFonts w:ascii="Times New Roman" w:hAnsi="Times New Roman" w:cs="Times New Roman"/>
          <w:sz w:val="28"/>
          <w:szCs w:val="28"/>
        </w:rPr>
        <w:t>,</w:t>
      </w:r>
    </w:p>
    <w:p w:rsidR="00EA4550" w:rsidRDefault="005F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Теплоснабжение – 16</w:t>
      </w:r>
      <w:r w:rsidR="00C61A46">
        <w:rPr>
          <w:rFonts w:ascii="Times New Roman" w:hAnsi="Times New Roman" w:cs="Times New Roman"/>
          <w:sz w:val="28"/>
          <w:szCs w:val="28"/>
        </w:rPr>
        <w:t>,</w:t>
      </w:r>
    </w:p>
    <w:p w:rsidR="00EA4550" w:rsidRDefault="005F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Электроснабжение – 61</w:t>
      </w:r>
      <w:r w:rsidR="00C61A46">
        <w:rPr>
          <w:rFonts w:ascii="Times New Roman" w:hAnsi="Times New Roman" w:cs="Times New Roman"/>
          <w:sz w:val="28"/>
          <w:szCs w:val="28"/>
        </w:rPr>
        <w:t>,</w:t>
      </w:r>
    </w:p>
    <w:p w:rsidR="00EA4550" w:rsidRDefault="005F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Канализация – 21,</w:t>
      </w:r>
    </w:p>
    <w:p w:rsidR="005F0F1F" w:rsidRDefault="005F0F1F" w:rsidP="005F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ЧС – 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F0F1F" w:rsidRDefault="005F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4550" w:rsidRDefault="005F0F1F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Итого: 743 обращения</w:t>
      </w:r>
    </w:p>
    <w:p w:rsidR="00EA4550" w:rsidRDefault="00C61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557961" cy="3275937"/>
            <wp:effectExtent l="4762" t="4762" r="4762" b="4762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A4550" w:rsidRDefault="00EA455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4550" w:rsidRDefault="00C61A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Большая часть вопросов, затронут</w:t>
      </w:r>
      <w:r w:rsidR="0043459E">
        <w:rPr>
          <w:rFonts w:ascii="Times New Roman" w:hAnsi="Times New Roman" w:cs="Times New Roman"/>
          <w:sz w:val="28"/>
          <w:szCs w:val="28"/>
        </w:rPr>
        <w:t xml:space="preserve">ых жителями касается работы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регионального оператора </w:t>
      </w:r>
      <w:r w:rsidR="00280FE9">
        <w:rPr>
          <w:rFonts w:ascii="Times New Roman" w:hAnsi="Times New Roman" w:cs="Times New Roman"/>
          <w:sz w:val="28"/>
          <w:szCs w:val="28"/>
        </w:rPr>
        <w:t>МУП «Спецавтохозяйство</w:t>
      </w:r>
      <w:r>
        <w:rPr>
          <w:rFonts w:ascii="Times New Roman" w:hAnsi="Times New Roman" w:cs="Times New Roman"/>
          <w:sz w:val="28"/>
          <w:szCs w:val="28"/>
        </w:rPr>
        <w:t>», переселения из ветхого и аварийного жилья, деятельности управляющих организаций и их проверки, а также капитального ремонта многоквартирных домов: об исключении многоквартирного дома из региональной программы капитального ремонта, об актуализации региональной программы капитального ремонта, о переносе и замене сроков капитального ремонта, взносов за капитальный ремонт, о содержании и текущем ремонте общего имущества многоквартирного дома, о тарифах и начислениях за коммунальные платежи и вопросы коммунального комплекса.</w:t>
      </w:r>
    </w:p>
    <w:p w:rsidR="00EA4550" w:rsidRDefault="00EA45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4550" w:rsidRDefault="00C61A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отдел благоустройства и обращения с твердыми коммунальными отходами министерства жилищно-коммунального хозяйства и энергетики Новосибирской области поступили обращения граждан по вопросам: организации сбора и вывоза твердых коммунальных отходов (далее – ТКО), о раздельном сборе, о заключении договоров на оказание услуги по обращению с ТКО с региональным оператором по обращению с ТКО на территории Новосибирской обл</w:t>
      </w:r>
      <w:r w:rsidR="0043459E">
        <w:rPr>
          <w:rFonts w:ascii="Times New Roman" w:hAnsi="Times New Roman" w:cs="Times New Roman"/>
          <w:sz w:val="28"/>
          <w:szCs w:val="28"/>
        </w:rPr>
        <w:t>асти – МУП «Спецавтохозяйство</w:t>
      </w:r>
      <w:r>
        <w:rPr>
          <w:rFonts w:ascii="Times New Roman" w:hAnsi="Times New Roman" w:cs="Times New Roman"/>
          <w:sz w:val="28"/>
          <w:szCs w:val="28"/>
        </w:rPr>
        <w:t>» (далее – региональный оператор), об уборке придомовых территорий, благоустройство территорий (уличное освещение, обустройство детских площадок, ремонт тротуаров, проездов).</w:t>
      </w:r>
    </w:p>
    <w:p w:rsidR="00EA4550" w:rsidRDefault="00C61A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вопросам обращения с ТКО совместно с региональным оператором рассмотрены обращения граждан, даны разъяснения в части законодательства Российской Федерации, Федерального закона от 24.06.1998 № 89-ФЗ «Об отходах производства и потребления», и реализации мероприятий в рамках государственной программы «Развитие системы обращения с отходами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производства и потребления в Новосибирской области», утвержденной постановлением Правительства Новосибирской области от 19.01.2015 № 10-п. </w:t>
      </w:r>
    </w:p>
    <w:p w:rsidR="00EA4550" w:rsidRDefault="00C61A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вопросам содержания и благоустройства территорий рассмотрены обращения граждан, даны разъяснения в части Федерального закона от 06.10.2003 № 131-ФЗ «Об общих принципах организации местного самоуправления в Российской Федерации» и реализации мероприятий, в рамках подпрограммы «Благоустройство территорий населенных пунктов» государственной программы Новосибирской области «Жилищно-коммунальное хозяйство Новосибирской области», утвержденной постановлением Правительства Новосибирской области от 16.02.2015 № 66-п о возможности благоустройства общественных пространств. Данная информация доведена до сведения заявителей.</w:t>
      </w:r>
    </w:p>
    <w:p w:rsidR="00EA4550" w:rsidRDefault="00EA4550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550" w:rsidRDefault="00C61A46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отдел теплоснабжения поступили обращения граждан по вопросам: качества предоставляемых коммунальных услуг, технологическом присоединении к тепловым сетям частных домовладений, о надежности работы систем теплоснабжения, о предоставлении коммунальной услуги горячее теплоснабжение в летний период.</w:t>
      </w:r>
    </w:p>
    <w:p w:rsidR="00EA4550" w:rsidRDefault="00C61A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соблюдения процедур по подключению объектов капитального строительства к системам теплоснабжения органам местного самоуправления, руководителям организаций коммунального комплекса даны разъяснения в соответствии с Правилами подключения к системам теплоснабжения, утвержденными постановлением Правительства Российской Федерации от 05.07.2018 № 787.</w:t>
      </w:r>
    </w:p>
    <w:p w:rsidR="00EA4550" w:rsidRDefault="00C61A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надежности работы объектов теплоснабжения муниципальных образований НСО, готовность их к отопительному периоду, обеспечивается в рамках подготовки объектов энергетики, коммунального комплекса, жилищного фонда и социально-культурной сферы в Новосибирской области к работе в отопительный период, в рамках государственных программ Новосибирской области «Энергосбережение и повышение энергетической эффективности на 2015 – 2022 годы», «Жилищно-коммунальное хозяйство Новосибирской области в 2015-2022 годах».</w:t>
      </w:r>
    </w:p>
    <w:p w:rsidR="00EA4550" w:rsidRDefault="00C61A4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обеспечения устойчивого функционирования и своевременной подготовки объектов энергетики, коммунального комплекса, жилищного фонда и социально-культурной сферы в Новосибирской области к работе в отопительный период 202</w:t>
      </w:r>
      <w:r w:rsidR="00EF566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EF566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года, обеспечения их устойчивым снабжением топливно-энергетическими ресурсами Правительством Новосибирской области разработано и утверждено Постановление от </w:t>
      </w:r>
      <w:r w:rsidR="00280FE9">
        <w:rPr>
          <w:rFonts w:ascii="Times New Roman" w:hAnsi="Times New Roman" w:cs="Times New Roman"/>
          <w:sz w:val="28"/>
          <w:szCs w:val="28"/>
        </w:rPr>
        <w:t>23</w:t>
      </w:r>
      <w:r>
        <w:rPr>
          <w:rFonts w:ascii="Times New Roman" w:hAnsi="Times New Roman" w:cs="Times New Roman"/>
          <w:sz w:val="28"/>
          <w:szCs w:val="28"/>
        </w:rPr>
        <w:t>.05.202</w:t>
      </w:r>
      <w:r w:rsidR="00EF566A">
        <w:rPr>
          <w:rFonts w:ascii="Times New Roman" w:hAnsi="Times New Roman" w:cs="Times New Roman"/>
          <w:sz w:val="28"/>
          <w:szCs w:val="28"/>
        </w:rPr>
        <w:t>3</w:t>
      </w:r>
      <w:r w:rsidR="00280FE9">
        <w:rPr>
          <w:rFonts w:ascii="Times New Roman" w:hAnsi="Times New Roman" w:cs="Times New Roman"/>
          <w:sz w:val="28"/>
          <w:szCs w:val="28"/>
        </w:rPr>
        <w:t xml:space="preserve"> № 212</w:t>
      </w:r>
      <w:r>
        <w:rPr>
          <w:rFonts w:ascii="Times New Roman" w:hAnsi="Times New Roman" w:cs="Times New Roman"/>
          <w:sz w:val="28"/>
          <w:szCs w:val="28"/>
        </w:rPr>
        <w:t>-п «О мероприятиях по подготовке объектов энергетики, коммунального комплекса, жилищного фонда и социально-культурной сферы в Новосибирской области к работе в отопительный период 202</w:t>
      </w:r>
      <w:r w:rsidR="00280FE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/202</w:t>
      </w:r>
      <w:r w:rsidR="00280FE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года».</w:t>
      </w:r>
    </w:p>
    <w:p w:rsidR="00EA4550" w:rsidRDefault="00C61A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Вопросы отсутствия горячего водоснабжения в летний период, своевременности и качеству предоставляемых коммунальных услуг рассмотрены в соответствии действующих «Правил предоставления коммунальных услуг </w:t>
      </w:r>
      <w:r>
        <w:rPr>
          <w:rFonts w:ascii="Times New Roman" w:hAnsi="Times New Roman" w:cs="Times New Roman"/>
          <w:sz w:val="28"/>
          <w:szCs w:val="28"/>
        </w:rPr>
        <w:lastRenderedPageBreak/>
        <w:t>собственникам и пользователям помещений в многоквартирных домах и жилых домов», утвержденных постановлением Правительства Российской Федерации от 06.05.2011 № 354.</w:t>
      </w:r>
    </w:p>
    <w:p w:rsidR="00EA4550" w:rsidRDefault="00EA4550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4550" w:rsidRDefault="00C61A46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отдел энергетики поступили обращения граждан по вопросам отключений электрической энергии, о содействии в вырубке деревьев, угрожающих падением на линию электропередачи, о переносе опор линий электропередачи, о заключении прямых договоров с ОАО «Новосибирскэнергосбыт», неудовлетворительного качества электроснабжения и др. По вопросам надежности электроснабжения в жилых домах по результатам совместной работы с сетевой организацией АО «Региональные электрические сети» рассмотрены причины возникновения отключений электрической энергии. В большинстве случаев отключения являются плановыми. Плановые отключения проводились, как правило, с целью проведения работ по вырубке просеки, подключения новых потребителей, проведения ремонтных работ. Аварийные отключения вызваны срабатыванием аппаратуры и внешними воздействиями, а также плохими погодными условиями. Время отсутствия электроснабжения при плановых отключениях не превышало нормативно допустимого. Данная информация доведена до сведения заявителей. Вопросы, связанные с переносом опор линий электропередачи и с вырубкой деревьев, угрожающих падением на линию электропередачи, были решены министерством совместно с сетевыми организациями и администрациями муниципальных образований. Администрациями муниципальных образований данные вопросы взяты под внутренний контроль. По вопросам заключения прямых договоров с АО «Новосибирскэнергосбыт» заявителям был направлен перечень документов для заключения договора энергоснабжения с гарантирующим поставщиком АО «Новосибирскэнергосбыт». Вопросы неудовлетворительного качества электроснабжения, связанных с отклонением напряжения от нормативного, были решены сетевыми компаниями посредством установки контрольных выносных приборов учета электрической энергии на опоры электрической сети 0,4 кВ, выполнения суточного мониторинга уровня напряжения. </w:t>
      </w:r>
    </w:p>
    <w:p w:rsidR="00EA4550" w:rsidRDefault="00C61A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теме газификации (газоснабжения) наиболее частыми вопросами в обращениях граждан были: </w:t>
      </w:r>
    </w:p>
    <w:p w:rsidR="00EA4550" w:rsidRDefault="00C61A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сроки газификации населенных пунктов, с включением их в подпрограмму «Газификация» государственной программы;</w:t>
      </w:r>
    </w:p>
    <w:p w:rsidR="00EA4550" w:rsidRDefault="00C61A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реализации Послания Президента Российской Федерации к Федеральному Собранию Российской Федерации, а также перечня поручений Президента Российской Федерации от 31.05.2020 № Пр-907 (подключение к газораспределительным сетям без привлечения средств граждан);</w:t>
      </w:r>
    </w:p>
    <w:p w:rsidR="00EA4550" w:rsidRDefault="00C61A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догазификация;</w:t>
      </w:r>
    </w:p>
    <w:p w:rsidR="00EA4550" w:rsidRDefault="00C61A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порядок платы за технологическое присоединение газоиспользующего оборудования к газораспределительным сетям и (или) стандартизированным тарифным ставкам, определяющим их величину (стоимость подключения к </w:t>
      </w:r>
      <w:r>
        <w:rPr>
          <w:rFonts w:ascii="Times New Roman" w:hAnsi="Times New Roman" w:cs="Times New Roman"/>
          <w:sz w:val="28"/>
          <w:szCs w:val="28"/>
        </w:rPr>
        <w:lastRenderedPageBreak/>
        <w:t>газовым сетям). Но в соответствии с пунктом 13.1. постановления Правительства Новосибирской области от 25.02.2013 № 74-п «О департаменте по тарифам Новосибирской области»: в установленной сфере деятельности департамент устанавливает размер платы за технологическое присоединение газоиспользующего оборудования к газораспределительным сетям и (или) стандартизированные тарифные ставки, определяющие ее величину;</w:t>
      </w:r>
    </w:p>
    <w:p w:rsidR="00EA4550" w:rsidRDefault="00C61A46">
      <w:pPr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порядок подключения (технологическое присоединение) объектов капитального строительства к газораспределительным сетям. В соответствии с п</w:t>
      </w:r>
      <w:r>
        <w:rPr>
          <w:rFonts w:ascii="Times New Roman" w:hAnsi="Times New Roman" w:cs="Times New Roman"/>
          <w:bCs/>
          <w:sz w:val="28"/>
          <w:szCs w:val="28"/>
        </w:rPr>
        <w:t>остановлением Правительства Российской Федерации от 30.12.2013 № 1314 заявителям были даны разъяснения по указанному вопросу;</w:t>
      </w:r>
    </w:p>
    <w:p w:rsidR="00EA4550" w:rsidRDefault="00C61A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- оказание содействия населению Новосибирской области при газификации домовладений. Заявителям даны разъяснения о предоставлении субсидий на компенсацию части процентной ставки по кредитам в соответствии с постановлением администрации Новосибирской области от 28.08.2006 № 66-па «О государственной поддержке граждан при кредитовании на газификацию жилья в Новосибирской области». </w:t>
      </w:r>
    </w:p>
    <w:p w:rsidR="00EA4550" w:rsidRDefault="00EA455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A4550" w:rsidRDefault="00C61A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направлению водоснабжения и водоотведения обращения граждан, поступившие в министерство, содержали вопросы о качестве питьевой воды в муниципальных образованиях Новосибирской области, порядке подключения объектов капитального строительства к централизованной системе водоснабжения, о размере платы за подключение, об аварийном состоянии сетей водоснабжения и водоотведения.</w:t>
      </w:r>
    </w:p>
    <w:p w:rsidR="00EA4550" w:rsidRDefault="00C61A46">
      <w:pPr>
        <w:tabs>
          <w:tab w:val="left" w:pos="787"/>
        </w:tabs>
        <w:spacing w:after="0"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Указом Президента Российской Федерации В.В. Путина от 07.05.2018 № 204 «О национальных целях и стратегических задачах развития Российской Федерации на период до 2024 года» к 2024 году необходимо достичь </w:t>
      </w:r>
      <w:r>
        <w:rPr>
          <w:rFonts w:ascii="Times New Roman" w:hAnsi="Times New Roman" w:cs="Times New Roman"/>
          <w:sz w:val="28"/>
          <w:szCs w:val="28"/>
        </w:rPr>
        <w:t>повышение качества питьевой воды для населения, в том числе для жителей населенных пунктов, не оборудованных современными системами централизованного водоснабжения.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A4550" w:rsidRDefault="00C61A46">
      <w:pPr>
        <w:tabs>
          <w:tab w:val="left" w:pos="787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Паспортом регионального проекта «Чистая вода» предусмотрено достижение </w:t>
      </w:r>
      <w:r>
        <w:rPr>
          <w:rFonts w:ascii="Times New Roman" w:hAnsi="Times New Roman" w:cs="Times New Roman"/>
          <w:sz w:val="28"/>
          <w:szCs w:val="28"/>
        </w:rPr>
        <w:t>доли населения Новосибирской области обеспеченного качественной питьевой водой из систем централизованного водоснабжения, не менее чем до 91,8 % к 2024 году, доли городского населения Новосибирской области, обеспеченного качественной питьевой водой из систем централизованного водоснабжения, не менее чем до 99% к 2024 году.</w:t>
      </w:r>
    </w:p>
    <w:p w:rsidR="00EA4550" w:rsidRDefault="00C61A46">
      <w:pPr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время, по данным Государственного доклада Управления Роспотребнадзора по Новосибирской области «О состоянии санитарно-эпидемиологического благополучия населения в Новосибирской области в 2020 году» доля населения, обеспеченного качественной питьевой водой, соответствующей гигиеническим нормативам в 2021 году увеличилась на 4,7 % к </w:t>
      </w:r>
      <w:r>
        <w:rPr>
          <w:rFonts w:ascii="Times New Roman" w:hAnsi="Times New Roman" w:cs="Times New Roman"/>
          <w:sz w:val="28"/>
          <w:szCs w:val="28"/>
        </w:rPr>
        <w:lastRenderedPageBreak/>
        <w:t>уровню 2020 года, и составила 87,3 %. Ежегодно наблюдается положительная динамика.</w:t>
      </w:r>
    </w:p>
    <w:p w:rsidR="00EA4550" w:rsidRDefault="00EA4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550" w:rsidRDefault="00C61A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Управлением жилищной политики и развития жилищно-коммунального хозяйства были рассмотрены и разъяснены следующие вопросы, содержащиеся в обращениях граждан: </w:t>
      </w:r>
    </w:p>
    <w:p w:rsidR="00EA4550" w:rsidRDefault="00C61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переселение граждан из аварийного жилищного фонда, расположенного на территории Академгородка и прочего аварийного жилищного фонда;</w:t>
      </w:r>
    </w:p>
    <w:p w:rsidR="00EA4550" w:rsidRDefault="00C61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порядок признания многоквартирных домов аварийными и подлежащими сносу;</w:t>
      </w:r>
    </w:p>
    <w:p w:rsidR="00EA4550" w:rsidRDefault="00C61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включение домов в федеральную и областную программы переселения;</w:t>
      </w:r>
    </w:p>
    <w:p w:rsidR="00EA4550" w:rsidRDefault="00C61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внесение данных по аварийным многоквартирным домам в АИС «Реформа ЖКХ»;</w:t>
      </w:r>
    </w:p>
    <w:p w:rsidR="00EA4550" w:rsidRDefault="00C61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о переносе срока капитального ремонта многоквартирных домов;</w:t>
      </w:r>
    </w:p>
    <w:p w:rsidR="00EA4550" w:rsidRDefault="00C61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о качестве капитального ремонта многоквартирных домов;</w:t>
      </w:r>
    </w:p>
    <w:p w:rsidR="00EA4550" w:rsidRDefault="00C61A4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- о качестве оказания УК услуг по содержанию общего имущества многоквартирных домов и т.д.</w:t>
      </w:r>
    </w:p>
    <w:p w:rsidR="00EA4550" w:rsidRDefault="00EA45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A4550" w:rsidRDefault="00C61A46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обращения, поступившие непосредственно в министерство, были рассмотрены руководителем министерства и направлены исполнителям для подготовки ответов заявителям. По существу, всех поставленных в обращениях вопросов, гражданам были даны ответы в установленный действующим законодательством срок. </w:t>
      </w:r>
    </w:p>
    <w:sectPr w:rsidR="00EA4550">
      <w:pgSz w:w="11906" w:h="16838"/>
      <w:pgMar w:top="851" w:right="850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6AC7" w:rsidRDefault="00ED6AC7">
      <w:pPr>
        <w:spacing w:after="0" w:line="240" w:lineRule="auto"/>
      </w:pPr>
      <w:r>
        <w:separator/>
      </w:r>
    </w:p>
  </w:endnote>
  <w:endnote w:type="continuationSeparator" w:id="0">
    <w:p w:rsidR="00ED6AC7" w:rsidRDefault="00ED6A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6AC7" w:rsidRDefault="00ED6AC7">
      <w:pPr>
        <w:spacing w:after="0" w:line="240" w:lineRule="auto"/>
      </w:pPr>
      <w:r>
        <w:separator/>
      </w:r>
    </w:p>
  </w:footnote>
  <w:footnote w:type="continuationSeparator" w:id="0">
    <w:p w:rsidR="00ED6AC7" w:rsidRDefault="00ED6AC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550"/>
    <w:rsid w:val="000E57D9"/>
    <w:rsid w:val="00280FE9"/>
    <w:rsid w:val="00423B58"/>
    <w:rsid w:val="0043459E"/>
    <w:rsid w:val="005C4E7D"/>
    <w:rsid w:val="005F0F1F"/>
    <w:rsid w:val="008D3C92"/>
    <w:rsid w:val="00A37B6A"/>
    <w:rsid w:val="00A67B86"/>
    <w:rsid w:val="00BD049F"/>
    <w:rsid w:val="00C26CBD"/>
    <w:rsid w:val="00C61A46"/>
    <w:rsid w:val="00C623D0"/>
    <w:rsid w:val="00EA4550"/>
    <w:rsid w:val="00ED6AC7"/>
    <w:rsid w:val="00EF566A"/>
    <w:rsid w:val="00F50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28B1AD"/>
  <w15:docId w15:val="{2C5F63EB-02CA-4663-8F65-FB8F9E52A7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1CADE4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</w:style>
  <w:style w:type="table" w:styleId="af0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3DDF4" w:themeColor="accent1" w:themeTint="67"/>
        <w:left w:val="single" w:sz="4" w:space="0" w:color="A3DDF4" w:themeColor="accent1" w:themeTint="67"/>
        <w:bottom w:val="single" w:sz="4" w:space="0" w:color="A3DDF4" w:themeColor="accent1" w:themeTint="67"/>
        <w:right w:val="single" w:sz="4" w:space="0" w:color="A3DDF4" w:themeColor="accent1" w:themeTint="67"/>
        <w:insideH w:val="single" w:sz="4" w:space="0" w:color="A3DDF4" w:themeColor="accent1" w:themeTint="67"/>
        <w:insideV w:val="single" w:sz="4" w:space="0" w:color="A3DDF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ACEEF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3DDF4" w:themeColor="accent1" w:themeTint="67"/>
          <w:left w:val="single" w:sz="4" w:space="0" w:color="A3DDF4" w:themeColor="accent1" w:themeTint="67"/>
          <w:bottom w:val="single" w:sz="4" w:space="0" w:color="A3DDF4" w:themeColor="accent1" w:themeTint="67"/>
          <w:right w:val="single" w:sz="4" w:space="0" w:color="A3DDF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1CDED" w:themeColor="accent2" w:themeTint="67"/>
        <w:left w:val="single" w:sz="4" w:space="0" w:color="A1CDED" w:themeColor="accent2" w:themeTint="67"/>
        <w:bottom w:val="single" w:sz="4" w:space="0" w:color="A1CDED" w:themeColor="accent2" w:themeTint="67"/>
        <w:right w:val="single" w:sz="4" w:space="0" w:color="A1CDED" w:themeColor="accent2" w:themeTint="67"/>
        <w:insideH w:val="single" w:sz="4" w:space="0" w:color="A1CDED" w:themeColor="accent2" w:themeTint="67"/>
        <w:insideV w:val="single" w:sz="4" w:space="0" w:color="A1CDED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78B7E5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1CDED" w:themeColor="accent2" w:themeTint="67"/>
          <w:left w:val="single" w:sz="4" w:space="0" w:color="A1CDED" w:themeColor="accent2" w:themeTint="67"/>
          <w:bottom w:val="single" w:sz="4" w:space="0" w:color="A1CDED" w:themeColor="accent2" w:themeTint="67"/>
          <w:right w:val="single" w:sz="4" w:space="0" w:color="A1CDED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7EBEF" w:themeColor="accent3" w:themeTint="67"/>
        <w:left w:val="single" w:sz="4" w:space="0" w:color="A7EBEF" w:themeColor="accent3" w:themeTint="67"/>
        <w:bottom w:val="single" w:sz="4" w:space="0" w:color="A7EBEF" w:themeColor="accent3" w:themeTint="67"/>
        <w:right w:val="single" w:sz="4" w:space="0" w:color="A7EBEF" w:themeColor="accent3" w:themeTint="67"/>
        <w:insideH w:val="single" w:sz="4" w:space="0" w:color="A7EBEF" w:themeColor="accent3" w:themeTint="67"/>
        <w:insideV w:val="single" w:sz="4" w:space="0" w:color="A7EBEF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0E2E8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7EBEF" w:themeColor="accent3" w:themeTint="67"/>
          <w:left w:val="single" w:sz="4" w:space="0" w:color="A7EBEF" w:themeColor="accent3" w:themeTint="67"/>
          <w:bottom w:val="single" w:sz="4" w:space="0" w:color="A7EBEF" w:themeColor="accent3" w:themeTint="67"/>
          <w:right w:val="single" w:sz="4" w:space="0" w:color="A7EBEF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3D5" w:themeColor="accent4" w:themeTint="67"/>
        <w:left w:val="single" w:sz="4" w:space="0" w:color="B2E3D5" w:themeColor="accent4" w:themeTint="67"/>
        <w:bottom w:val="single" w:sz="4" w:space="0" w:color="B2E3D5" w:themeColor="accent4" w:themeTint="67"/>
        <w:right w:val="single" w:sz="4" w:space="0" w:color="B2E3D5" w:themeColor="accent4" w:themeTint="67"/>
        <w:insideH w:val="single" w:sz="4" w:space="0" w:color="B2E3D5" w:themeColor="accent4" w:themeTint="67"/>
        <w:insideV w:val="single" w:sz="4" w:space="0" w:color="B2E3D5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FD7C2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3D5" w:themeColor="accent4" w:themeTint="67"/>
          <w:left w:val="single" w:sz="4" w:space="0" w:color="B2E3D5" w:themeColor="accent4" w:themeTint="67"/>
          <w:bottom w:val="single" w:sz="4" w:space="0" w:color="B2E3D5" w:themeColor="accent4" w:themeTint="67"/>
          <w:right w:val="single" w:sz="4" w:space="0" w:color="B2E3D5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8D7B5" w:themeColor="accent5" w:themeTint="67"/>
        <w:left w:val="single" w:sz="4" w:space="0" w:color="A8D7B5" w:themeColor="accent5" w:themeTint="67"/>
        <w:bottom w:val="single" w:sz="4" w:space="0" w:color="A8D7B5" w:themeColor="accent5" w:themeTint="67"/>
        <w:right w:val="single" w:sz="4" w:space="0" w:color="A8D7B5" w:themeColor="accent5" w:themeTint="67"/>
        <w:insideH w:val="single" w:sz="4" w:space="0" w:color="A8D7B5" w:themeColor="accent5" w:themeTint="67"/>
        <w:insideV w:val="single" w:sz="4" w:space="0" w:color="A8D7B5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81C694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8D7B5" w:themeColor="accent5" w:themeTint="67"/>
          <w:left w:val="single" w:sz="4" w:space="0" w:color="A8D7B5" w:themeColor="accent5" w:themeTint="67"/>
          <w:bottom w:val="single" w:sz="4" w:space="0" w:color="A8D7B5" w:themeColor="accent5" w:themeTint="67"/>
          <w:right w:val="single" w:sz="4" w:space="0" w:color="A8D7B5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D9D8" w:themeColor="accent6" w:themeTint="67"/>
        <w:left w:val="single" w:sz="4" w:space="0" w:color="BFD9D8" w:themeColor="accent6" w:themeTint="67"/>
        <w:bottom w:val="single" w:sz="4" w:space="0" w:color="BFD9D8" w:themeColor="accent6" w:themeTint="67"/>
        <w:right w:val="single" w:sz="4" w:space="0" w:color="BFD9D8" w:themeColor="accent6" w:themeTint="67"/>
        <w:insideH w:val="single" w:sz="4" w:space="0" w:color="BFD9D8" w:themeColor="accent6" w:themeTint="67"/>
        <w:insideV w:val="single" w:sz="4" w:space="0" w:color="BFD9D8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3C9C6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FD9D8" w:themeColor="accent6" w:themeTint="67"/>
          <w:left w:val="single" w:sz="4" w:space="0" w:color="BFD9D8" w:themeColor="accent6" w:themeTint="67"/>
          <w:bottom w:val="single" w:sz="4" w:space="0" w:color="BFD9D8" w:themeColor="accent6" w:themeTint="67"/>
          <w:right w:val="single" w:sz="4" w:space="0" w:color="BFD9D8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EB3E6" w:themeColor="accent1" w:themeTint="EA"/>
        <w:insideH w:val="single" w:sz="4" w:space="0" w:color="2EB3E6" w:themeColor="accent1" w:themeTint="EA"/>
        <w:insideV w:val="single" w:sz="4" w:space="0" w:color="2EB3E6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2EB3E6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2EB3E6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0EEF9" w:themeColor="accent1" w:themeTint="34" w:fill="D0EEF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EEF9" w:themeColor="accent1" w:themeTint="34" w:fill="D0EEF9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6B6E5" w:themeColor="accent2" w:themeTint="97"/>
        <w:insideH w:val="single" w:sz="4" w:space="0" w:color="76B6E5" w:themeColor="accent2" w:themeTint="97"/>
        <w:insideV w:val="single" w:sz="4" w:space="0" w:color="76B6E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6B6E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6B6E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6F6" w:themeColor="accent2" w:themeTint="32" w:fill="D1E6F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6F6" w:themeColor="accent2" w:themeTint="32" w:fill="D1E6F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7CED7" w:themeColor="accent3" w:themeTint="FE"/>
        <w:insideH w:val="single" w:sz="4" w:space="0" w:color="27CED7" w:themeColor="accent3" w:themeTint="FE"/>
        <w:insideV w:val="single" w:sz="4" w:space="0" w:color="27CED7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27CED7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27CED7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F5F7" w:themeColor="accent3" w:themeTint="34" w:fill="D2F5F7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F5F7" w:themeColor="accent3" w:themeTint="34" w:fill="D2F5F7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BD6C0" w:themeColor="accent4" w:themeTint="9A"/>
        <w:insideH w:val="single" w:sz="4" w:space="0" w:color="8BD6C0" w:themeColor="accent4" w:themeTint="9A"/>
        <w:insideV w:val="single" w:sz="4" w:space="0" w:color="8BD6C0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8BD6C0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8BD6C0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1E9" w:themeColor="accent4" w:themeTint="34" w:fill="D8F1E9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1E9" w:themeColor="accent4" w:themeTint="34" w:fill="D8F1E9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E8853" w:themeColor="accent5"/>
        <w:insideH w:val="single" w:sz="4" w:space="0" w:color="3E8853" w:themeColor="accent5"/>
        <w:insideV w:val="single" w:sz="4" w:space="0" w:color="3E885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3E8853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3E8853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BD9" w:themeColor="accent5" w:themeTint="34" w:fill="D3EBD9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BD9" w:themeColor="accent5" w:themeTint="34" w:fill="D3EBD9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2A39F" w:themeColor="accent6"/>
        <w:insideH w:val="single" w:sz="4" w:space="0" w:color="62A39F" w:themeColor="accent6"/>
        <w:insideV w:val="single" w:sz="4" w:space="0" w:color="62A39F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2A39F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2A39F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CEB" w:themeColor="accent6" w:themeTint="34" w:fill="DEEC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CEB" w:themeColor="accent6" w:themeTint="34" w:fill="DEECEB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EB3E6" w:themeColor="accent1" w:themeTint="EA"/>
        <w:insideH w:val="single" w:sz="4" w:space="0" w:color="2EB3E6" w:themeColor="accent1" w:themeTint="EA"/>
        <w:insideV w:val="single" w:sz="4" w:space="0" w:color="2EB3E6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0EEF9" w:themeColor="accent1" w:themeTint="34" w:fill="D0EEF9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0EEF9" w:themeColor="accent1" w:themeTint="34" w:fill="D0EEF9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6B6E5" w:themeColor="accent2" w:themeTint="97"/>
        <w:insideH w:val="single" w:sz="4" w:space="0" w:color="76B6E5" w:themeColor="accent2" w:themeTint="97"/>
        <w:insideV w:val="single" w:sz="4" w:space="0" w:color="76B6E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1E6F6" w:themeColor="accent2" w:themeTint="32" w:fill="D1E6F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6F6" w:themeColor="accent2" w:themeTint="32" w:fill="D1E6F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7CED7" w:themeColor="accent3" w:themeTint="FE"/>
        <w:insideH w:val="single" w:sz="4" w:space="0" w:color="27CED7" w:themeColor="accent3" w:themeTint="FE"/>
        <w:insideV w:val="single" w:sz="4" w:space="0" w:color="27CED7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2F5F7" w:themeColor="accent3" w:themeTint="34" w:fill="D2F5F7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F5F7" w:themeColor="accent3" w:themeTint="34" w:fill="D2F5F7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BD6C0" w:themeColor="accent4" w:themeTint="9A"/>
        <w:insideH w:val="single" w:sz="4" w:space="0" w:color="8BD6C0" w:themeColor="accent4" w:themeTint="9A"/>
        <w:insideV w:val="single" w:sz="4" w:space="0" w:color="8BD6C0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F1E9" w:themeColor="accent4" w:themeTint="34" w:fill="D8F1E9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1E9" w:themeColor="accent4" w:themeTint="34" w:fill="D8F1E9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3E8853" w:themeColor="accent5"/>
        <w:insideH w:val="single" w:sz="4" w:space="0" w:color="3E8853" w:themeColor="accent5"/>
        <w:insideV w:val="single" w:sz="4" w:space="0" w:color="3E8853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3EBD9" w:themeColor="accent5" w:themeTint="34" w:fill="D3EBD9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BD9" w:themeColor="accent5" w:themeTint="34" w:fill="D3EBD9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2A39F" w:themeColor="accent6"/>
        <w:insideH w:val="single" w:sz="4" w:space="0" w:color="62A39F" w:themeColor="accent6"/>
        <w:insideV w:val="single" w:sz="4" w:space="0" w:color="62A39F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EECEB" w:themeColor="accent6" w:themeTint="34" w:fill="DEEC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CEB" w:themeColor="accent6" w:themeTint="34" w:fill="DEECEB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7ED0EF" w:themeColor="accent1" w:themeTint="90"/>
        <w:left w:val="single" w:sz="4" w:space="0" w:color="7ED0EF" w:themeColor="accent1" w:themeTint="90"/>
        <w:bottom w:val="single" w:sz="4" w:space="0" w:color="7ED0EF" w:themeColor="accent1" w:themeTint="90"/>
        <w:right w:val="single" w:sz="4" w:space="0" w:color="7ED0EF" w:themeColor="accent1" w:themeTint="90"/>
        <w:insideH w:val="single" w:sz="4" w:space="0" w:color="7ED0EF" w:themeColor="accent1" w:themeTint="90"/>
        <w:insideV w:val="single" w:sz="4" w:space="0" w:color="7ED0EF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EB3E6" w:themeColor="accent1" w:themeTint="EA"/>
          <w:left w:val="single" w:sz="4" w:space="0" w:color="2EB3E6" w:themeColor="accent1" w:themeTint="EA"/>
          <w:bottom w:val="single" w:sz="4" w:space="0" w:color="2EB3E6" w:themeColor="accent1" w:themeTint="EA"/>
          <w:right w:val="single" w:sz="4" w:space="0" w:color="2EB3E6" w:themeColor="accent1" w:themeTint="EA"/>
        </w:tcBorders>
        <w:shd w:val="clear" w:color="2EB3E6" w:themeColor="accent1" w:themeTint="EA" w:fill="2EB3E6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2EB3E6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EEF9" w:themeColor="accent1" w:themeTint="32" w:fill="D2EEF9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EEF9" w:themeColor="accent1" w:themeTint="32" w:fill="D2EEF9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7CB9E6" w:themeColor="accent2" w:themeTint="90"/>
        <w:left w:val="single" w:sz="4" w:space="0" w:color="7CB9E6" w:themeColor="accent2" w:themeTint="90"/>
        <w:bottom w:val="single" w:sz="4" w:space="0" w:color="7CB9E6" w:themeColor="accent2" w:themeTint="90"/>
        <w:right w:val="single" w:sz="4" w:space="0" w:color="7CB9E6" w:themeColor="accent2" w:themeTint="90"/>
        <w:insideH w:val="single" w:sz="4" w:space="0" w:color="7CB9E6" w:themeColor="accent2" w:themeTint="90"/>
        <w:insideV w:val="single" w:sz="4" w:space="0" w:color="7CB9E6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6B6E5" w:themeColor="accent2" w:themeTint="97"/>
          <w:left w:val="single" w:sz="4" w:space="0" w:color="76B6E5" w:themeColor="accent2" w:themeTint="97"/>
          <w:bottom w:val="single" w:sz="4" w:space="0" w:color="76B6E5" w:themeColor="accent2" w:themeTint="97"/>
          <w:right w:val="single" w:sz="4" w:space="0" w:color="76B6E5" w:themeColor="accent2" w:themeTint="97"/>
        </w:tcBorders>
        <w:shd w:val="clear" w:color="76B6E5" w:themeColor="accent2" w:themeTint="97" w:fill="76B6E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76B6E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6F6" w:themeColor="accent2" w:themeTint="32" w:fill="D1E6F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6F6" w:themeColor="accent2" w:themeTint="32" w:fill="D1E6F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84E3E8" w:themeColor="accent3" w:themeTint="90"/>
        <w:left w:val="single" w:sz="4" w:space="0" w:color="84E3E8" w:themeColor="accent3" w:themeTint="90"/>
        <w:bottom w:val="single" w:sz="4" w:space="0" w:color="84E3E8" w:themeColor="accent3" w:themeTint="90"/>
        <w:right w:val="single" w:sz="4" w:space="0" w:color="84E3E8" w:themeColor="accent3" w:themeTint="90"/>
        <w:insideH w:val="single" w:sz="4" w:space="0" w:color="84E3E8" w:themeColor="accent3" w:themeTint="90"/>
        <w:insideV w:val="single" w:sz="4" w:space="0" w:color="84E3E8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27CED7" w:themeColor="accent3" w:themeTint="FE"/>
          <w:left w:val="single" w:sz="4" w:space="0" w:color="27CED7" w:themeColor="accent3" w:themeTint="FE"/>
          <w:bottom w:val="single" w:sz="4" w:space="0" w:color="27CED7" w:themeColor="accent3" w:themeTint="FE"/>
          <w:right w:val="single" w:sz="4" w:space="0" w:color="27CED7" w:themeColor="accent3" w:themeTint="FE"/>
        </w:tcBorders>
        <w:shd w:val="clear" w:color="27CED7" w:themeColor="accent3" w:themeTint="FE" w:fill="27CED7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27CED7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F5F7" w:themeColor="accent3" w:themeTint="34" w:fill="D2F5F7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F5F7" w:themeColor="accent3" w:themeTint="34" w:fill="D2F5F7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3D8C4" w:themeColor="accent4" w:themeTint="90"/>
        <w:left w:val="single" w:sz="4" w:space="0" w:color="93D8C4" w:themeColor="accent4" w:themeTint="90"/>
        <w:bottom w:val="single" w:sz="4" w:space="0" w:color="93D8C4" w:themeColor="accent4" w:themeTint="90"/>
        <w:right w:val="single" w:sz="4" w:space="0" w:color="93D8C4" w:themeColor="accent4" w:themeTint="90"/>
        <w:insideH w:val="single" w:sz="4" w:space="0" w:color="93D8C4" w:themeColor="accent4" w:themeTint="90"/>
        <w:insideV w:val="single" w:sz="4" w:space="0" w:color="93D8C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8BD6C0" w:themeColor="accent4" w:themeTint="9A"/>
          <w:left w:val="single" w:sz="4" w:space="0" w:color="8BD6C0" w:themeColor="accent4" w:themeTint="9A"/>
          <w:bottom w:val="single" w:sz="4" w:space="0" w:color="8BD6C0" w:themeColor="accent4" w:themeTint="9A"/>
          <w:right w:val="single" w:sz="4" w:space="0" w:color="8BD6C0" w:themeColor="accent4" w:themeTint="9A"/>
        </w:tcBorders>
        <w:shd w:val="clear" w:color="8BD6C0" w:themeColor="accent4" w:themeTint="9A" w:fill="8BD6C0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8BD6C0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F1E9" w:themeColor="accent4" w:themeTint="34" w:fill="D8F1E9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F1E9" w:themeColor="accent4" w:themeTint="34" w:fill="D8F1E9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85C798" w:themeColor="accent5" w:themeTint="90"/>
        <w:left w:val="single" w:sz="4" w:space="0" w:color="85C798" w:themeColor="accent5" w:themeTint="90"/>
        <w:bottom w:val="single" w:sz="4" w:space="0" w:color="85C798" w:themeColor="accent5" w:themeTint="90"/>
        <w:right w:val="single" w:sz="4" w:space="0" w:color="85C798" w:themeColor="accent5" w:themeTint="90"/>
        <w:insideH w:val="single" w:sz="4" w:space="0" w:color="85C798" w:themeColor="accent5" w:themeTint="90"/>
        <w:insideV w:val="single" w:sz="4" w:space="0" w:color="85C798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3E8853" w:themeColor="accent5"/>
          <w:left w:val="single" w:sz="4" w:space="0" w:color="3E8853" w:themeColor="accent5"/>
          <w:bottom w:val="single" w:sz="4" w:space="0" w:color="3E8853" w:themeColor="accent5"/>
          <w:right w:val="single" w:sz="4" w:space="0" w:color="3E8853" w:themeColor="accent5"/>
        </w:tcBorders>
        <w:shd w:val="clear" w:color="3E8853" w:themeColor="accent5" w:fill="3E8853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3E8853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3EBD9" w:themeColor="accent5" w:themeTint="34" w:fill="D3EBD9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3EBD9" w:themeColor="accent5" w:themeTint="34" w:fill="D3EBD9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6CBC8" w:themeColor="accent6" w:themeTint="90"/>
        <w:left w:val="single" w:sz="4" w:space="0" w:color="A6CBC8" w:themeColor="accent6" w:themeTint="90"/>
        <w:bottom w:val="single" w:sz="4" w:space="0" w:color="A6CBC8" w:themeColor="accent6" w:themeTint="90"/>
        <w:right w:val="single" w:sz="4" w:space="0" w:color="A6CBC8" w:themeColor="accent6" w:themeTint="90"/>
        <w:insideH w:val="single" w:sz="4" w:space="0" w:color="A6CBC8" w:themeColor="accent6" w:themeTint="90"/>
        <w:insideV w:val="single" w:sz="4" w:space="0" w:color="A6CBC8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2A39F" w:themeColor="accent6"/>
          <w:left w:val="single" w:sz="4" w:space="0" w:color="62A39F" w:themeColor="accent6"/>
          <w:bottom w:val="single" w:sz="4" w:space="0" w:color="62A39F" w:themeColor="accent6"/>
          <w:right w:val="single" w:sz="4" w:space="0" w:color="62A39F" w:themeColor="accent6"/>
        </w:tcBorders>
        <w:shd w:val="clear" w:color="62A39F" w:themeColor="accent6" w:fill="62A39F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62A39F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CEB" w:themeColor="accent6" w:themeTint="34" w:fill="DEECEB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CEB" w:themeColor="accent6" w:themeTint="34" w:fill="DEECEB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0EEF9" w:themeColor="accent1" w:themeTint="34" w:fill="D0EEF9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CADE4" w:themeColor="accent1" w:fill="1CADE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1CADE4" w:themeColor="accent1" w:fill="1CADE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1CADE4" w:themeColor="accent1" w:fill="1CADE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1CADE4" w:themeColor="accent1" w:fill="1CADE4" w:themeFill="accent1"/>
      </w:tcPr>
    </w:tblStylePr>
    <w:tblStylePr w:type="band1Vert">
      <w:tblPr/>
      <w:tcPr>
        <w:shd w:val="clear" w:color="96D9F2" w:themeColor="accent1" w:themeTint="75" w:fill="96D9F2" w:themeFill="accent1" w:themeFillTint="75"/>
      </w:tcPr>
    </w:tblStylePr>
    <w:tblStylePr w:type="band1Horz">
      <w:tblPr/>
      <w:tcPr>
        <w:shd w:val="clear" w:color="96D9F2" w:themeColor="accent1" w:themeTint="75" w:fill="96D9F2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1E6F6" w:themeColor="accent2" w:themeTint="32" w:fill="D1E6F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683C6" w:themeColor="accent2" w:fill="2683C6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683C6" w:themeColor="accent2" w:fill="2683C6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683C6" w:themeColor="accent2" w:fill="2683C6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683C6" w:themeColor="accent2" w:fill="2683C6" w:themeFill="accent2"/>
      </w:tcPr>
    </w:tblStylePr>
    <w:tblStylePr w:type="band1Vert">
      <w:tblPr/>
      <w:tcPr>
        <w:shd w:val="clear" w:color="95C6EA" w:themeColor="accent2" w:themeTint="75" w:fill="95C6EA" w:themeFill="accent2" w:themeFillTint="75"/>
      </w:tcPr>
    </w:tblStylePr>
    <w:tblStylePr w:type="band1Horz">
      <w:tblPr/>
      <w:tcPr>
        <w:shd w:val="clear" w:color="95C6EA" w:themeColor="accent2" w:themeTint="75" w:fill="95C6EA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2F5F7" w:themeColor="accent3" w:themeTint="34" w:fill="D2F5F7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7CED7" w:themeColor="accent3" w:fill="27CED7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27CED7" w:themeColor="accent3" w:fill="27CED7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27CED7" w:themeColor="accent3" w:fill="27CED7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27CED7" w:themeColor="accent3" w:fill="27CED7" w:themeFill="accent3"/>
      </w:tcPr>
    </w:tblStylePr>
    <w:tblStylePr w:type="band1Vert">
      <w:tblPr/>
      <w:tcPr>
        <w:shd w:val="clear" w:color="9BE8ED" w:themeColor="accent3" w:themeTint="75" w:fill="9BE8ED" w:themeFill="accent3" w:themeFillTint="75"/>
      </w:tcPr>
    </w:tblStylePr>
    <w:tblStylePr w:type="band1Horz">
      <w:tblPr/>
      <w:tcPr>
        <w:shd w:val="clear" w:color="9BE8ED" w:themeColor="accent3" w:themeTint="75" w:fill="9BE8ED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F1E9" w:themeColor="accent4" w:themeTint="34" w:fill="D8F1E9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2BA97" w:themeColor="accent4" w:fill="42BA97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2BA97" w:themeColor="accent4" w:fill="42BA97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2BA97" w:themeColor="accent4" w:fill="42BA97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2BA97" w:themeColor="accent4" w:fill="42BA97" w:themeFill="accent4"/>
      </w:tcPr>
    </w:tblStylePr>
    <w:tblStylePr w:type="band1Vert">
      <w:tblPr/>
      <w:tcPr>
        <w:shd w:val="clear" w:color="A7E0CF" w:themeColor="accent4" w:themeTint="75" w:fill="A7E0CF" w:themeFill="accent4" w:themeFillTint="75"/>
      </w:tcPr>
    </w:tblStylePr>
    <w:tblStylePr w:type="band1Horz">
      <w:tblPr/>
      <w:tcPr>
        <w:shd w:val="clear" w:color="A7E0CF" w:themeColor="accent4" w:themeTint="75" w:fill="A7E0CF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3EBD9" w:themeColor="accent5" w:themeTint="34" w:fill="D3EBD9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E8853" w:themeColor="accent5" w:fill="3E8853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3E8853" w:themeColor="accent5" w:fill="3E8853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3E8853" w:themeColor="accent5" w:fill="3E8853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3E8853" w:themeColor="accent5" w:fill="3E8853" w:themeFill="accent5"/>
      </w:tcPr>
    </w:tblStylePr>
    <w:tblStylePr w:type="band1Vert">
      <w:tblPr/>
      <w:tcPr>
        <w:shd w:val="clear" w:color="9CD2AB" w:themeColor="accent5" w:themeTint="75" w:fill="9CD2AB" w:themeFill="accent5" w:themeFillTint="75"/>
      </w:tcPr>
    </w:tblStylePr>
    <w:tblStylePr w:type="band1Horz">
      <w:tblPr/>
      <w:tcPr>
        <w:shd w:val="clear" w:color="9CD2AB" w:themeColor="accent5" w:themeTint="75" w:fill="9CD2A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EECEB" w:themeColor="accent6" w:themeTint="34" w:fill="DEECEB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2A39F" w:themeColor="accent6" w:fill="62A39F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62A39F" w:themeColor="accent6" w:fill="62A39F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62A39F" w:themeColor="accent6" w:fill="62A39F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62A39F" w:themeColor="accent6" w:fill="62A39F" w:themeFill="accent6"/>
      </w:tcPr>
    </w:tblStylePr>
    <w:tblStylePr w:type="band1Vert">
      <w:tblPr/>
      <w:tcPr>
        <w:shd w:val="clear" w:color="B6D4D2" w:themeColor="accent6" w:themeTint="75" w:fill="B6D4D2" w:themeFill="accent6" w:themeFillTint="75"/>
      </w:tcPr>
    </w:tblStylePr>
    <w:tblStylePr w:type="band1Horz">
      <w:tblPr/>
      <w:tcPr>
        <w:shd w:val="clear" w:color="B6D4D2" w:themeColor="accent6" w:themeTint="75" w:fill="B6D4D2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CD5F1" w:themeColor="accent1" w:themeTint="80"/>
        <w:left w:val="single" w:sz="4" w:space="0" w:color="8CD5F1" w:themeColor="accent1" w:themeTint="80"/>
        <w:bottom w:val="single" w:sz="4" w:space="0" w:color="8CD5F1" w:themeColor="accent1" w:themeTint="80"/>
        <w:right w:val="single" w:sz="4" w:space="0" w:color="8CD5F1" w:themeColor="accent1" w:themeTint="80"/>
        <w:insideH w:val="single" w:sz="4" w:space="0" w:color="8CD5F1" w:themeColor="accent1" w:themeTint="80"/>
        <w:insideV w:val="single" w:sz="4" w:space="0" w:color="8CD5F1" w:themeColor="accent1" w:themeTint="80"/>
      </w:tblBorders>
    </w:tblPr>
    <w:tblStylePr w:type="firstRow">
      <w:rPr>
        <w:b/>
        <w:color w:val="8CD5F1" w:themeColor="accent1" w:themeTint="80" w:themeShade="95"/>
      </w:rPr>
      <w:tblPr/>
      <w:tcPr>
        <w:tcBorders>
          <w:bottom w:val="single" w:sz="12" w:space="0" w:color="8CD5F1" w:themeColor="accent1" w:themeTint="80"/>
        </w:tcBorders>
      </w:tcPr>
    </w:tblStylePr>
    <w:tblStylePr w:type="lastRow">
      <w:rPr>
        <w:b/>
        <w:color w:val="8CD5F1" w:themeColor="accent1" w:themeTint="80" w:themeShade="95"/>
      </w:rPr>
    </w:tblStylePr>
    <w:tblStylePr w:type="firstCol">
      <w:rPr>
        <w:b/>
        <w:color w:val="8CD5F1" w:themeColor="accent1" w:themeTint="80" w:themeShade="95"/>
      </w:rPr>
    </w:tblStylePr>
    <w:tblStylePr w:type="lastCol">
      <w:rPr>
        <w:b/>
        <w:color w:val="8CD5F1" w:themeColor="accent1" w:themeTint="80" w:themeShade="95"/>
      </w:rPr>
    </w:tblStylePr>
    <w:tblStylePr w:type="band1Vert">
      <w:tblPr/>
      <w:tcPr>
        <w:shd w:val="clear" w:color="D0EEF9" w:themeColor="accent1" w:themeTint="34" w:fill="D0EEF9" w:themeFill="accent1" w:themeFillTint="34"/>
      </w:tcPr>
    </w:tblStylePr>
    <w:tblStylePr w:type="band1Horz">
      <w:rPr>
        <w:rFonts w:ascii="Arial" w:hAnsi="Arial"/>
        <w:color w:val="8CD5F1" w:themeColor="accent1" w:themeTint="80" w:themeShade="95"/>
        <w:sz w:val="22"/>
      </w:rPr>
      <w:tblPr/>
      <w:tcPr>
        <w:shd w:val="clear" w:color="D0EEF9" w:themeColor="accent1" w:themeTint="34" w:fill="D0EEF9" w:themeFill="accent1" w:themeFillTint="34"/>
      </w:tcPr>
    </w:tblStylePr>
    <w:tblStylePr w:type="band2Horz">
      <w:rPr>
        <w:rFonts w:ascii="Arial" w:hAnsi="Arial"/>
        <w:color w:val="8CD5F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6B6E5" w:themeColor="accent2" w:themeTint="97"/>
        <w:left w:val="single" w:sz="4" w:space="0" w:color="76B6E5" w:themeColor="accent2" w:themeTint="97"/>
        <w:bottom w:val="single" w:sz="4" w:space="0" w:color="76B6E5" w:themeColor="accent2" w:themeTint="97"/>
        <w:right w:val="single" w:sz="4" w:space="0" w:color="76B6E5" w:themeColor="accent2" w:themeTint="97"/>
        <w:insideH w:val="single" w:sz="4" w:space="0" w:color="76B6E5" w:themeColor="accent2" w:themeTint="97"/>
        <w:insideV w:val="single" w:sz="4" w:space="0" w:color="76B6E5" w:themeColor="accent2" w:themeTint="97"/>
      </w:tblBorders>
    </w:tblPr>
    <w:tblStylePr w:type="firstRow">
      <w:rPr>
        <w:b/>
        <w:color w:val="76B6E5" w:themeColor="accent2" w:themeTint="97" w:themeShade="95"/>
      </w:rPr>
      <w:tblPr/>
      <w:tcPr>
        <w:tcBorders>
          <w:bottom w:val="single" w:sz="12" w:space="0" w:color="76B6E5" w:themeColor="accent2" w:themeTint="97"/>
        </w:tcBorders>
      </w:tcPr>
    </w:tblStylePr>
    <w:tblStylePr w:type="lastRow">
      <w:rPr>
        <w:b/>
        <w:color w:val="76B6E5" w:themeColor="accent2" w:themeTint="97" w:themeShade="95"/>
      </w:rPr>
    </w:tblStylePr>
    <w:tblStylePr w:type="firstCol">
      <w:rPr>
        <w:b/>
        <w:color w:val="76B6E5" w:themeColor="accent2" w:themeTint="97" w:themeShade="95"/>
      </w:rPr>
    </w:tblStylePr>
    <w:tblStylePr w:type="lastCol">
      <w:rPr>
        <w:b/>
        <w:color w:val="76B6E5" w:themeColor="accent2" w:themeTint="97" w:themeShade="95"/>
      </w:rPr>
    </w:tblStylePr>
    <w:tblStylePr w:type="band1Vert">
      <w:tblPr/>
      <w:tcPr>
        <w:shd w:val="clear" w:color="D1E6F6" w:themeColor="accent2" w:themeTint="32" w:fill="D1E6F6" w:themeFill="accent2" w:themeFillTint="32"/>
      </w:tcPr>
    </w:tblStylePr>
    <w:tblStylePr w:type="band1Horz">
      <w:rPr>
        <w:rFonts w:ascii="Arial" w:hAnsi="Arial"/>
        <w:color w:val="76B6E5" w:themeColor="accent2" w:themeTint="97" w:themeShade="95"/>
        <w:sz w:val="22"/>
      </w:rPr>
      <w:tblPr/>
      <w:tcPr>
        <w:shd w:val="clear" w:color="D1E6F6" w:themeColor="accent2" w:themeTint="32" w:fill="D1E6F6" w:themeFill="accent2" w:themeFillTint="32"/>
      </w:tcPr>
    </w:tblStylePr>
    <w:tblStylePr w:type="band2Horz">
      <w:rPr>
        <w:rFonts w:ascii="Arial" w:hAnsi="Arial"/>
        <w:color w:val="76B6E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27CED7" w:themeColor="accent3" w:themeTint="FE"/>
        <w:left w:val="single" w:sz="4" w:space="0" w:color="27CED7" w:themeColor="accent3" w:themeTint="FE"/>
        <w:bottom w:val="single" w:sz="4" w:space="0" w:color="27CED7" w:themeColor="accent3" w:themeTint="FE"/>
        <w:right w:val="single" w:sz="4" w:space="0" w:color="27CED7" w:themeColor="accent3" w:themeTint="FE"/>
        <w:insideH w:val="single" w:sz="4" w:space="0" w:color="27CED7" w:themeColor="accent3" w:themeTint="FE"/>
        <w:insideV w:val="single" w:sz="4" w:space="0" w:color="27CED7" w:themeColor="accent3" w:themeTint="FE"/>
      </w:tblBorders>
    </w:tblPr>
    <w:tblStylePr w:type="firstRow">
      <w:rPr>
        <w:b/>
        <w:color w:val="27CED7" w:themeColor="accent3" w:themeTint="FE" w:themeShade="95"/>
      </w:rPr>
      <w:tblPr/>
      <w:tcPr>
        <w:tcBorders>
          <w:bottom w:val="single" w:sz="12" w:space="0" w:color="27CED7" w:themeColor="accent3" w:themeTint="FE"/>
        </w:tcBorders>
      </w:tcPr>
    </w:tblStylePr>
    <w:tblStylePr w:type="lastRow">
      <w:rPr>
        <w:b/>
        <w:color w:val="27CED7" w:themeColor="accent3" w:themeTint="FE" w:themeShade="95"/>
      </w:rPr>
    </w:tblStylePr>
    <w:tblStylePr w:type="firstCol">
      <w:rPr>
        <w:b/>
        <w:color w:val="27CED7" w:themeColor="accent3" w:themeTint="FE" w:themeShade="95"/>
      </w:rPr>
    </w:tblStylePr>
    <w:tblStylePr w:type="lastCol">
      <w:rPr>
        <w:b/>
        <w:color w:val="27CED7" w:themeColor="accent3" w:themeTint="FE" w:themeShade="95"/>
      </w:rPr>
    </w:tblStylePr>
    <w:tblStylePr w:type="band1Vert">
      <w:tblPr/>
      <w:tcPr>
        <w:shd w:val="clear" w:color="D2F5F7" w:themeColor="accent3" w:themeTint="34" w:fill="D2F5F7" w:themeFill="accent3" w:themeFillTint="34"/>
      </w:tcPr>
    </w:tblStylePr>
    <w:tblStylePr w:type="band1Horz">
      <w:rPr>
        <w:rFonts w:ascii="Arial" w:hAnsi="Arial"/>
        <w:color w:val="27CED7" w:themeColor="accent3" w:themeTint="FE" w:themeShade="95"/>
        <w:sz w:val="22"/>
      </w:rPr>
      <w:tblPr/>
      <w:tcPr>
        <w:shd w:val="clear" w:color="D2F5F7" w:themeColor="accent3" w:themeTint="34" w:fill="D2F5F7" w:themeFill="accent3" w:themeFillTint="34"/>
      </w:tcPr>
    </w:tblStylePr>
    <w:tblStylePr w:type="band2Horz">
      <w:rPr>
        <w:rFonts w:ascii="Arial" w:hAnsi="Arial"/>
        <w:color w:val="27CED7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BD6C0" w:themeColor="accent4" w:themeTint="9A"/>
        <w:left w:val="single" w:sz="4" w:space="0" w:color="8BD6C0" w:themeColor="accent4" w:themeTint="9A"/>
        <w:bottom w:val="single" w:sz="4" w:space="0" w:color="8BD6C0" w:themeColor="accent4" w:themeTint="9A"/>
        <w:right w:val="single" w:sz="4" w:space="0" w:color="8BD6C0" w:themeColor="accent4" w:themeTint="9A"/>
        <w:insideH w:val="single" w:sz="4" w:space="0" w:color="8BD6C0" w:themeColor="accent4" w:themeTint="9A"/>
        <w:insideV w:val="single" w:sz="4" w:space="0" w:color="8BD6C0" w:themeColor="accent4" w:themeTint="9A"/>
      </w:tblBorders>
    </w:tblPr>
    <w:tblStylePr w:type="firstRow">
      <w:rPr>
        <w:b/>
        <w:color w:val="8BD6C0" w:themeColor="accent4" w:themeTint="9A" w:themeShade="95"/>
      </w:rPr>
      <w:tblPr/>
      <w:tcPr>
        <w:tcBorders>
          <w:bottom w:val="single" w:sz="12" w:space="0" w:color="8BD6C0" w:themeColor="accent4" w:themeTint="9A"/>
        </w:tcBorders>
      </w:tcPr>
    </w:tblStylePr>
    <w:tblStylePr w:type="lastRow">
      <w:rPr>
        <w:b/>
        <w:color w:val="8BD6C0" w:themeColor="accent4" w:themeTint="9A" w:themeShade="95"/>
      </w:rPr>
    </w:tblStylePr>
    <w:tblStylePr w:type="firstCol">
      <w:rPr>
        <w:b/>
        <w:color w:val="8BD6C0" w:themeColor="accent4" w:themeTint="9A" w:themeShade="95"/>
      </w:rPr>
    </w:tblStylePr>
    <w:tblStylePr w:type="lastCol">
      <w:rPr>
        <w:b/>
        <w:color w:val="8BD6C0" w:themeColor="accent4" w:themeTint="9A" w:themeShade="95"/>
      </w:rPr>
    </w:tblStylePr>
    <w:tblStylePr w:type="band1Vert">
      <w:tblPr/>
      <w:tcPr>
        <w:shd w:val="clear" w:color="D8F1E9" w:themeColor="accent4" w:themeTint="34" w:fill="D8F1E9" w:themeFill="accent4" w:themeFillTint="34"/>
      </w:tcPr>
    </w:tblStylePr>
    <w:tblStylePr w:type="band1Horz">
      <w:rPr>
        <w:rFonts w:ascii="Arial" w:hAnsi="Arial"/>
        <w:color w:val="8BD6C0" w:themeColor="accent4" w:themeTint="9A" w:themeShade="95"/>
        <w:sz w:val="22"/>
      </w:rPr>
      <w:tblPr/>
      <w:tcPr>
        <w:shd w:val="clear" w:color="D8F1E9" w:themeColor="accent4" w:themeTint="34" w:fill="D8F1E9" w:themeFill="accent4" w:themeFillTint="34"/>
      </w:tcPr>
    </w:tblStylePr>
    <w:tblStylePr w:type="band2Horz">
      <w:rPr>
        <w:rFonts w:ascii="Arial" w:hAnsi="Arial"/>
        <w:color w:val="8BD6C0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3E8853" w:themeColor="accent5"/>
        <w:left w:val="single" w:sz="4" w:space="0" w:color="3E8853" w:themeColor="accent5"/>
        <w:bottom w:val="single" w:sz="4" w:space="0" w:color="3E8853" w:themeColor="accent5"/>
        <w:right w:val="single" w:sz="4" w:space="0" w:color="3E8853" w:themeColor="accent5"/>
        <w:insideH w:val="single" w:sz="4" w:space="0" w:color="3E8853" w:themeColor="accent5"/>
        <w:insideV w:val="single" w:sz="4" w:space="0" w:color="3E8853" w:themeColor="accent5"/>
      </w:tblBorders>
    </w:tblPr>
    <w:tblStylePr w:type="firstRow">
      <w:rPr>
        <w:b/>
        <w:color w:val="244F30" w:themeColor="accent5" w:themeShade="95"/>
      </w:rPr>
      <w:tblPr/>
      <w:tcPr>
        <w:tcBorders>
          <w:bottom w:val="single" w:sz="12" w:space="0" w:color="3E8853" w:themeColor="accent5"/>
        </w:tcBorders>
      </w:tcPr>
    </w:tblStylePr>
    <w:tblStylePr w:type="lastRow">
      <w:rPr>
        <w:b/>
        <w:color w:val="244F30" w:themeColor="accent5" w:themeShade="95"/>
      </w:rPr>
    </w:tblStylePr>
    <w:tblStylePr w:type="firstCol">
      <w:rPr>
        <w:b/>
        <w:color w:val="244F30" w:themeColor="accent5" w:themeShade="95"/>
      </w:rPr>
    </w:tblStylePr>
    <w:tblStylePr w:type="lastCol">
      <w:rPr>
        <w:b/>
        <w:color w:val="244F30" w:themeColor="accent5" w:themeShade="95"/>
      </w:rPr>
    </w:tblStylePr>
    <w:tblStylePr w:type="band1Vert">
      <w:tblPr/>
      <w:tcPr>
        <w:shd w:val="clear" w:color="D3EBD9" w:themeColor="accent5" w:themeTint="34" w:fill="D3EBD9" w:themeFill="accent5" w:themeFillTint="34"/>
      </w:tcPr>
    </w:tblStylePr>
    <w:tblStylePr w:type="band1Horz">
      <w:rPr>
        <w:rFonts w:ascii="Arial" w:hAnsi="Arial"/>
        <w:color w:val="244F30" w:themeColor="accent5" w:themeShade="95"/>
        <w:sz w:val="22"/>
      </w:rPr>
      <w:tblPr/>
      <w:tcPr>
        <w:shd w:val="clear" w:color="D3EBD9" w:themeColor="accent5" w:themeTint="34" w:fill="D3EBD9" w:themeFill="accent5" w:themeFillTint="34"/>
      </w:tcPr>
    </w:tblStylePr>
    <w:tblStylePr w:type="band2Horz">
      <w:rPr>
        <w:rFonts w:ascii="Arial" w:hAnsi="Arial"/>
        <w:color w:val="244F30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2A39F" w:themeColor="accent6"/>
        <w:left w:val="single" w:sz="4" w:space="0" w:color="62A39F" w:themeColor="accent6"/>
        <w:bottom w:val="single" w:sz="4" w:space="0" w:color="62A39F" w:themeColor="accent6"/>
        <w:right w:val="single" w:sz="4" w:space="0" w:color="62A39F" w:themeColor="accent6"/>
        <w:insideH w:val="single" w:sz="4" w:space="0" w:color="62A39F" w:themeColor="accent6"/>
        <w:insideV w:val="single" w:sz="4" w:space="0" w:color="62A39F" w:themeColor="accent6"/>
      </w:tblBorders>
    </w:tblPr>
    <w:tblStylePr w:type="firstRow">
      <w:rPr>
        <w:b/>
        <w:color w:val="244F30" w:themeColor="accent5" w:themeShade="95"/>
      </w:rPr>
      <w:tblPr/>
      <w:tcPr>
        <w:tcBorders>
          <w:bottom w:val="single" w:sz="12" w:space="0" w:color="62A39F" w:themeColor="accent6"/>
        </w:tcBorders>
      </w:tcPr>
    </w:tblStylePr>
    <w:tblStylePr w:type="lastRow">
      <w:rPr>
        <w:b/>
        <w:color w:val="244F30" w:themeColor="accent5" w:themeShade="95"/>
      </w:rPr>
    </w:tblStylePr>
    <w:tblStylePr w:type="firstCol">
      <w:rPr>
        <w:b/>
        <w:color w:val="244F30" w:themeColor="accent5" w:themeShade="95"/>
      </w:rPr>
    </w:tblStylePr>
    <w:tblStylePr w:type="lastCol">
      <w:rPr>
        <w:b/>
        <w:color w:val="244F30" w:themeColor="accent5" w:themeShade="95"/>
      </w:rPr>
    </w:tblStylePr>
    <w:tblStylePr w:type="band1Vert">
      <w:tblPr/>
      <w:tcPr>
        <w:shd w:val="clear" w:color="DEECEB" w:themeColor="accent6" w:themeTint="34" w:fill="DEECEB" w:themeFill="accent6" w:themeFillTint="34"/>
      </w:tcPr>
    </w:tblStylePr>
    <w:tblStylePr w:type="band1Horz">
      <w:rPr>
        <w:rFonts w:ascii="Arial" w:hAnsi="Arial"/>
        <w:color w:val="244F30" w:themeColor="accent5" w:themeShade="95"/>
        <w:sz w:val="22"/>
      </w:rPr>
      <w:tblPr/>
      <w:tcPr>
        <w:shd w:val="clear" w:color="DEECEB" w:themeColor="accent6" w:themeTint="34" w:fill="DEECEB" w:themeFill="accent6" w:themeFillTint="34"/>
      </w:tcPr>
    </w:tblStylePr>
    <w:tblStylePr w:type="band2Horz">
      <w:rPr>
        <w:rFonts w:ascii="Arial" w:hAnsi="Arial"/>
        <w:color w:val="244F30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CD5F1" w:themeColor="accent1" w:themeTint="80"/>
        <w:right w:val="single" w:sz="4" w:space="0" w:color="8CD5F1" w:themeColor="accent1" w:themeTint="80"/>
        <w:insideH w:val="single" w:sz="4" w:space="0" w:color="8CD5F1" w:themeColor="accent1" w:themeTint="80"/>
        <w:insideV w:val="single" w:sz="4" w:space="0" w:color="8CD5F1" w:themeColor="accent1" w:themeTint="80"/>
      </w:tblBorders>
    </w:tblPr>
    <w:tblStylePr w:type="firstRow">
      <w:rPr>
        <w:rFonts w:ascii="Arial" w:hAnsi="Arial"/>
        <w:b/>
        <w:color w:val="8CD5F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CD5F1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CD5F1" w:themeColor="accent1" w:themeTint="80" w:themeShade="95"/>
        <w:sz w:val="22"/>
      </w:rPr>
      <w:tblPr/>
      <w:tcPr>
        <w:tcBorders>
          <w:top w:val="single" w:sz="4" w:space="0" w:color="8CD5F1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CD5F1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CD5F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8CD5F1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8CD5F1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0EEF9" w:themeColor="accent1" w:themeTint="34" w:fill="D0EEF9" w:themeFill="accent1" w:themeFillTint="34"/>
      </w:tcPr>
    </w:tblStylePr>
    <w:tblStylePr w:type="band1Horz">
      <w:rPr>
        <w:rFonts w:ascii="Arial" w:hAnsi="Arial"/>
        <w:color w:val="8CD5F1" w:themeColor="accent1" w:themeTint="80" w:themeShade="95"/>
        <w:sz w:val="22"/>
      </w:rPr>
      <w:tblPr/>
      <w:tcPr>
        <w:shd w:val="clear" w:color="D0EEF9" w:themeColor="accent1" w:themeTint="34" w:fill="D0EEF9" w:themeFill="accent1" w:themeFillTint="34"/>
      </w:tcPr>
    </w:tblStylePr>
    <w:tblStylePr w:type="band2Horz">
      <w:rPr>
        <w:rFonts w:ascii="Arial" w:hAnsi="Arial"/>
        <w:color w:val="8CD5F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6B6E5" w:themeColor="accent2" w:themeTint="97"/>
        <w:right w:val="single" w:sz="4" w:space="0" w:color="76B6E5" w:themeColor="accent2" w:themeTint="97"/>
        <w:insideH w:val="single" w:sz="4" w:space="0" w:color="76B6E5" w:themeColor="accent2" w:themeTint="97"/>
        <w:insideV w:val="single" w:sz="4" w:space="0" w:color="76B6E5" w:themeColor="accent2" w:themeTint="97"/>
      </w:tblBorders>
    </w:tblPr>
    <w:tblStylePr w:type="firstRow">
      <w:rPr>
        <w:rFonts w:ascii="Arial" w:hAnsi="Arial"/>
        <w:b/>
        <w:color w:val="76B6E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6B6E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6B6E5" w:themeColor="accent2" w:themeTint="97" w:themeShade="95"/>
        <w:sz w:val="22"/>
      </w:rPr>
      <w:tblPr/>
      <w:tcPr>
        <w:tcBorders>
          <w:top w:val="single" w:sz="4" w:space="0" w:color="76B6E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6B6E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6B6E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76B6E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76B6E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6F6" w:themeColor="accent2" w:themeTint="32" w:fill="D1E6F6" w:themeFill="accent2" w:themeFillTint="32"/>
      </w:tcPr>
    </w:tblStylePr>
    <w:tblStylePr w:type="band1Horz">
      <w:rPr>
        <w:rFonts w:ascii="Arial" w:hAnsi="Arial"/>
        <w:color w:val="76B6E5" w:themeColor="accent2" w:themeTint="97" w:themeShade="95"/>
        <w:sz w:val="22"/>
      </w:rPr>
      <w:tblPr/>
      <w:tcPr>
        <w:shd w:val="clear" w:color="D1E6F6" w:themeColor="accent2" w:themeTint="32" w:fill="D1E6F6" w:themeFill="accent2" w:themeFillTint="32"/>
      </w:tcPr>
    </w:tblStylePr>
    <w:tblStylePr w:type="band2Horz">
      <w:rPr>
        <w:rFonts w:ascii="Arial" w:hAnsi="Arial"/>
        <w:color w:val="76B6E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27CED7" w:themeColor="accent3" w:themeTint="FE"/>
        <w:right w:val="single" w:sz="4" w:space="0" w:color="27CED7" w:themeColor="accent3" w:themeTint="FE"/>
        <w:insideH w:val="single" w:sz="4" w:space="0" w:color="27CED7" w:themeColor="accent3" w:themeTint="FE"/>
        <w:insideV w:val="single" w:sz="4" w:space="0" w:color="27CED7" w:themeColor="accent3" w:themeTint="FE"/>
      </w:tblBorders>
    </w:tblPr>
    <w:tblStylePr w:type="firstRow">
      <w:rPr>
        <w:rFonts w:ascii="Arial" w:hAnsi="Arial"/>
        <w:b/>
        <w:color w:val="27CED7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7CED7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7CED7" w:themeColor="accent3" w:themeTint="FE" w:themeShade="95"/>
        <w:sz w:val="22"/>
      </w:rPr>
      <w:tblPr/>
      <w:tcPr>
        <w:tcBorders>
          <w:top w:val="single" w:sz="4" w:space="0" w:color="27CED7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7CED7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27CED7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27CED7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27CED7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F5F7" w:themeColor="accent3" w:themeTint="34" w:fill="D2F5F7" w:themeFill="accent3" w:themeFillTint="34"/>
      </w:tcPr>
    </w:tblStylePr>
    <w:tblStylePr w:type="band1Horz">
      <w:rPr>
        <w:rFonts w:ascii="Arial" w:hAnsi="Arial"/>
        <w:color w:val="27CED7" w:themeColor="accent3" w:themeTint="FE" w:themeShade="95"/>
        <w:sz w:val="22"/>
      </w:rPr>
      <w:tblPr/>
      <w:tcPr>
        <w:shd w:val="clear" w:color="D2F5F7" w:themeColor="accent3" w:themeTint="34" w:fill="D2F5F7" w:themeFill="accent3" w:themeFillTint="34"/>
      </w:tcPr>
    </w:tblStylePr>
    <w:tblStylePr w:type="band2Horz">
      <w:rPr>
        <w:rFonts w:ascii="Arial" w:hAnsi="Arial"/>
        <w:color w:val="27CED7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BD6C0" w:themeColor="accent4" w:themeTint="9A"/>
        <w:right w:val="single" w:sz="4" w:space="0" w:color="8BD6C0" w:themeColor="accent4" w:themeTint="9A"/>
        <w:insideH w:val="single" w:sz="4" w:space="0" w:color="8BD6C0" w:themeColor="accent4" w:themeTint="9A"/>
        <w:insideV w:val="single" w:sz="4" w:space="0" w:color="8BD6C0" w:themeColor="accent4" w:themeTint="9A"/>
      </w:tblBorders>
    </w:tblPr>
    <w:tblStylePr w:type="firstRow">
      <w:rPr>
        <w:rFonts w:ascii="Arial" w:hAnsi="Arial"/>
        <w:b/>
        <w:color w:val="8BD6C0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BD6C0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BD6C0" w:themeColor="accent4" w:themeTint="9A" w:themeShade="95"/>
        <w:sz w:val="22"/>
      </w:rPr>
      <w:tblPr/>
      <w:tcPr>
        <w:tcBorders>
          <w:top w:val="single" w:sz="4" w:space="0" w:color="8BD6C0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BD6C0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BD6C0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BD6C0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BD6C0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F1E9" w:themeColor="accent4" w:themeTint="34" w:fill="D8F1E9" w:themeFill="accent4" w:themeFillTint="34"/>
      </w:tcPr>
    </w:tblStylePr>
    <w:tblStylePr w:type="band1Horz">
      <w:rPr>
        <w:rFonts w:ascii="Arial" w:hAnsi="Arial"/>
        <w:color w:val="8BD6C0" w:themeColor="accent4" w:themeTint="9A" w:themeShade="95"/>
        <w:sz w:val="22"/>
      </w:rPr>
      <w:tblPr/>
      <w:tcPr>
        <w:shd w:val="clear" w:color="D8F1E9" w:themeColor="accent4" w:themeTint="34" w:fill="D8F1E9" w:themeFill="accent4" w:themeFillTint="34"/>
      </w:tcPr>
    </w:tblStylePr>
    <w:tblStylePr w:type="band2Horz">
      <w:rPr>
        <w:rFonts w:ascii="Arial" w:hAnsi="Arial"/>
        <w:color w:val="8BD6C0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85C798" w:themeColor="accent5" w:themeTint="90"/>
        <w:right w:val="single" w:sz="4" w:space="0" w:color="85C798" w:themeColor="accent5" w:themeTint="90"/>
        <w:insideH w:val="single" w:sz="4" w:space="0" w:color="85C798" w:themeColor="accent5" w:themeTint="90"/>
        <w:insideV w:val="single" w:sz="4" w:space="0" w:color="85C798" w:themeColor="accent5" w:themeTint="90"/>
      </w:tblBorders>
    </w:tblPr>
    <w:tblStylePr w:type="firstRow">
      <w:rPr>
        <w:rFonts w:ascii="Arial" w:hAnsi="Arial"/>
        <w:b/>
        <w:color w:val="244F3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5C798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4F30" w:themeColor="accent5" w:themeShade="95"/>
        <w:sz w:val="22"/>
      </w:rPr>
      <w:tblPr/>
      <w:tcPr>
        <w:tcBorders>
          <w:top w:val="single" w:sz="4" w:space="0" w:color="85C798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4F30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5C798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4F30" w:themeColor="accent5" w:themeShade="95"/>
        <w:sz w:val="22"/>
      </w:rPr>
      <w:tblPr/>
      <w:tcPr>
        <w:tcBorders>
          <w:top w:val="none" w:sz="4" w:space="0" w:color="000000"/>
          <w:left w:val="single" w:sz="4" w:space="0" w:color="85C798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3EBD9" w:themeColor="accent5" w:themeTint="34" w:fill="D3EBD9" w:themeFill="accent5" w:themeFillTint="34"/>
      </w:tcPr>
    </w:tblStylePr>
    <w:tblStylePr w:type="band1Horz">
      <w:rPr>
        <w:rFonts w:ascii="Arial" w:hAnsi="Arial"/>
        <w:color w:val="244F30" w:themeColor="accent5" w:themeShade="95"/>
        <w:sz w:val="22"/>
      </w:rPr>
      <w:tblPr/>
      <w:tcPr>
        <w:shd w:val="clear" w:color="D3EBD9" w:themeColor="accent5" w:themeTint="34" w:fill="D3EBD9" w:themeFill="accent5" w:themeFillTint="34"/>
      </w:tcPr>
    </w:tblStylePr>
    <w:tblStylePr w:type="band2Horz">
      <w:rPr>
        <w:rFonts w:ascii="Arial" w:hAnsi="Arial"/>
        <w:color w:val="244F30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CBC8" w:themeColor="accent6" w:themeTint="90"/>
        <w:right w:val="single" w:sz="4" w:space="0" w:color="A6CBC8" w:themeColor="accent6" w:themeTint="90"/>
        <w:insideH w:val="single" w:sz="4" w:space="0" w:color="A6CBC8" w:themeColor="accent6" w:themeTint="90"/>
        <w:insideV w:val="single" w:sz="4" w:space="0" w:color="A6CBC8" w:themeColor="accent6" w:themeTint="90"/>
      </w:tblBorders>
    </w:tblPr>
    <w:tblStylePr w:type="firstRow">
      <w:rPr>
        <w:rFonts w:ascii="Arial" w:hAnsi="Arial"/>
        <w:b/>
        <w:color w:val="38605D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CBC8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38605D" w:themeColor="accent6" w:themeShade="95"/>
        <w:sz w:val="22"/>
      </w:rPr>
      <w:tblPr/>
      <w:tcPr>
        <w:tcBorders>
          <w:top w:val="single" w:sz="4" w:space="0" w:color="A6CBC8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38605D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CBC8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38605D" w:themeColor="accent6" w:themeShade="95"/>
        <w:sz w:val="22"/>
      </w:rPr>
      <w:tblPr/>
      <w:tcPr>
        <w:tcBorders>
          <w:top w:val="none" w:sz="4" w:space="0" w:color="000000"/>
          <w:left w:val="single" w:sz="4" w:space="0" w:color="A6CBC8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EECEB" w:themeColor="accent6" w:themeTint="34" w:fill="DEECEB" w:themeFill="accent6" w:themeFillTint="34"/>
      </w:tcPr>
    </w:tblStylePr>
    <w:tblStylePr w:type="band1Horz">
      <w:rPr>
        <w:rFonts w:ascii="Arial" w:hAnsi="Arial"/>
        <w:color w:val="38605D" w:themeColor="accent6" w:themeShade="95"/>
        <w:sz w:val="22"/>
      </w:rPr>
      <w:tblPr/>
      <w:tcPr>
        <w:shd w:val="clear" w:color="DEECEB" w:themeColor="accent6" w:themeTint="34" w:fill="DEECEB" w:themeFill="accent6" w:themeFillTint="34"/>
      </w:tcPr>
    </w:tblStylePr>
    <w:tblStylePr w:type="band2Horz">
      <w:rPr>
        <w:rFonts w:ascii="Arial" w:hAnsi="Arial"/>
        <w:color w:val="38605D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CADE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1CADE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EAF8" w:themeColor="accent1" w:themeTint="40" w:fill="C5EAF8" w:themeFill="accent1" w:themeFillTint="40"/>
      </w:tcPr>
    </w:tblStylePr>
    <w:tblStylePr w:type="band1Horz">
      <w:tblPr/>
      <w:tcPr>
        <w:shd w:val="clear" w:color="C5EAF8" w:themeColor="accent1" w:themeTint="40" w:fill="C5EAF8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683C6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683C6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5E0F4" w:themeColor="accent2" w:themeTint="40" w:fill="C5E0F4" w:themeFill="accent2" w:themeFillTint="40"/>
      </w:tcPr>
    </w:tblStylePr>
    <w:tblStylePr w:type="band1Horz">
      <w:tblPr/>
      <w:tcPr>
        <w:shd w:val="clear" w:color="C5E0F4" w:themeColor="accent2" w:themeTint="40" w:fill="C5E0F4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27CED7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27CED7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8F2F5" w:themeColor="accent3" w:themeTint="40" w:fill="C8F2F5" w:themeFill="accent3" w:themeFillTint="40"/>
      </w:tcPr>
    </w:tblStylePr>
    <w:tblStylePr w:type="band1Horz">
      <w:tblPr/>
      <w:tcPr>
        <w:shd w:val="clear" w:color="C8F2F5" w:themeColor="accent3" w:themeTint="40" w:fill="C8F2F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2BA97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2BA97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EEE4" w:themeColor="accent4" w:themeTint="40" w:fill="CFEEE4" w:themeFill="accent4" w:themeFillTint="40"/>
      </w:tcPr>
    </w:tblStylePr>
    <w:tblStylePr w:type="band1Horz">
      <w:tblPr/>
      <w:tcPr>
        <w:shd w:val="clear" w:color="CFEEE4" w:themeColor="accent4" w:themeTint="40" w:fill="CFEEE4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3E8853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3E8853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9E6D1" w:themeColor="accent5" w:themeTint="40" w:fill="C9E6D1" w:themeFill="accent5" w:themeFillTint="40"/>
      </w:tcPr>
    </w:tblStylePr>
    <w:tblStylePr w:type="band1Horz">
      <w:tblPr/>
      <w:tcPr>
        <w:shd w:val="clear" w:color="C9E6D1" w:themeColor="accent5" w:themeTint="40" w:fill="C9E6D1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62A39F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62A39F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7E8E6" w:themeColor="accent6" w:themeTint="40" w:fill="D7E8E6" w:themeFill="accent6" w:themeFillTint="40"/>
      </w:tcPr>
    </w:tblStylePr>
    <w:tblStylePr w:type="band1Horz">
      <w:tblPr/>
      <w:tcPr>
        <w:shd w:val="clear" w:color="D7E8E6" w:themeColor="accent6" w:themeTint="40" w:fill="D7E8E6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ED0EF" w:themeColor="accent1" w:themeTint="90"/>
        <w:bottom w:val="single" w:sz="4" w:space="0" w:color="7ED0EF" w:themeColor="accent1" w:themeTint="90"/>
        <w:insideH w:val="single" w:sz="4" w:space="0" w:color="7ED0EF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D0EF" w:themeColor="accent1" w:themeTint="90"/>
          <w:left w:val="none" w:sz="4" w:space="0" w:color="000000"/>
          <w:bottom w:val="single" w:sz="4" w:space="0" w:color="7ED0EF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ED0EF" w:themeColor="accent1" w:themeTint="90"/>
          <w:left w:val="none" w:sz="4" w:space="0" w:color="000000"/>
          <w:bottom w:val="single" w:sz="4" w:space="0" w:color="7ED0EF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EAF8" w:themeColor="accent1" w:themeTint="40" w:fill="C5EAF8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EAF8" w:themeColor="accent1" w:themeTint="40" w:fill="C5EAF8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CB9E6" w:themeColor="accent2" w:themeTint="90"/>
        <w:bottom w:val="single" w:sz="4" w:space="0" w:color="7CB9E6" w:themeColor="accent2" w:themeTint="90"/>
        <w:insideH w:val="single" w:sz="4" w:space="0" w:color="7CB9E6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CB9E6" w:themeColor="accent2" w:themeTint="90"/>
          <w:left w:val="none" w:sz="4" w:space="0" w:color="000000"/>
          <w:bottom w:val="single" w:sz="4" w:space="0" w:color="7CB9E6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7CB9E6" w:themeColor="accent2" w:themeTint="90"/>
          <w:left w:val="none" w:sz="4" w:space="0" w:color="000000"/>
          <w:bottom w:val="single" w:sz="4" w:space="0" w:color="7CB9E6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E0F4" w:themeColor="accent2" w:themeTint="40" w:fill="C5E0F4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E0F4" w:themeColor="accent2" w:themeTint="40" w:fill="C5E0F4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4E3E8" w:themeColor="accent3" w:themeTint="90"/>
        <w:bottom w:val="single" w:sz="4" w:space="0" w:color="84E3E8" w:themeColor="accent3" w:themeTint="90"/>
        <w:insideH w:val="single" w:sz="4" w:space="0" w:color="84E3E8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4E3E8" w:themeColor="accent3" w:themeTint="90"/>
          <w:left w:val="none" w:sz="4" w:space="0" w:color="000000"/>
          <w:bottom w:val="single" w:sz="4" w:space="0" w:color="84E3E8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4E3E8" w:themeColor="accent3" w:themeTint="90"/>
          <w:left w:val="none" w:sz="4" w:space="0" w:color="000000"/>
          <w:bottom w:val="single" w:sz="4" w:space="0" w:color="84E3E8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8F2F5" w:themeColor="accent3" w:themeTint="40" w:fill="C8F2F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8F2F5" w:themeColor="accent3" w:themeTint="40" w:fill="C8F2F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3D8C4" w:themeColor="accent4" w:themeTint="90"/>
        <w:bottom w:val="single" w:sz="4" w:space="0" w:color="93D8C4" w:themeColor="accent4" w:themeTint="90"/>
        <w:insideH w:val="single" w:sz="4" w:space="0" w:color="93D8C4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D8C4" w:themeColor="accent4" w:themeTint="90"/>
          <w:left w:val="none" w:sz="4" w:space="0" w:color="000000"/>
          <w:bottom w:val="single" w:sz="4" w:space="0" w:color="93D8C4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3D8C4" w:themeColor="accent4" w:themeTint="90"/>
          <w:left w:val="none" w:sz="4" w:space="0" w:color="000000"/>
          <w:bottom w:val="single" w:sz="4" w:space="0" w:color="93D8C4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EE4" w:themeColor="accent4" w:themeTint="40" w:fill="CFEEE4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EE4" w:themeColor="accent4" w:themeTint="40" w:fill="CFEEE4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5C798" w:themeColor="accent5" w:themeTint="90"/>
        <w:bottom w:val="single" w:sz="4" w:space="0" w:color="85C798" w:themeColor="accent5" w:themeTint="90"/>
        <w:insideH w:val="single" w:sz="4" w:space="0" w:color="85C798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5C798" w:themeColor="accent5" w:themeTint="90"/>
          <w:left w:val="none" w:sz="4" w:space="0" w:color="000000"/>
          <w:bottom w:val="single" w:sz="4" w:space="0" w:color="85C798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85C798" w:themeColor="accent5" w:themeTint="90"/>
          <w:left w:val="none" w:sz="4" w:space="0" w:color="000000"/>
          <w:bottom w:val="single" w:sz="4" w:space="0" w:color="85C798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6D1" w:themeColor="accent5" w:themeTint="40" w:fill="C9E6D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6D1" w:themeColor="accent5" w:themeTint="40" w:fill="C9E6D1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CBC8" w:themeColor="accent6" w:themeTint="90"/>
        <w:bottom w:val="single" w:sz="4" w:space="0" w:color="A6CBC8" w:themeColor="accent6" w:themeTint="90"/>
        <w:insideH w:val="single" w:sz="4" w:space="0" w:color="A6CBC8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6CBC8" w:themeColor="accent6" w:themeTint="90"/>
          <w:left w:val="none" w:sz="4" w:space="0" w:color="000000"/>
          <w:bottom w:val="single" w:sz="4" w:space="0" w:color="A6CBC8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6CBC8" w:themeColor="accent6" w:themeTint="90"/>
          <w:left w:val="none" w:sz="4" w:space="0" w:color="000000"/>
          <w:bottom w:val="single" w:sz="4" w:space="0" w:color="A6CBC8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E8E6" w:themeColor="accent6" w:themeTint="40" w:fill="D7E8E6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E8E6" w:themeColor="accent6" w:themeTint="40" w:fill="D7E8E6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CADE4" w:themeColor="accent1"/>
        <w:left w:val="single" w:sz="4" w:space="0" w:color="1CADE4" w:themeColor="accent1"/>
        <w:bottom w:val="single" w:sz="4" w:space="0" w:color="1CADE4" w:themeColor="accent1"/>
        <w:right w:val="single" w:sz="4" w:space="0" w:color="1CADE4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CADE4" w:themeColor="accent1" w:fill="1CADE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1CADE4" w:themeColor="accent1"/>
          <w:right w:val="single" w:sz="4" w:space="0" w:color="1CADE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1CADE4" w:themeColor="accent1"/>
          <w:bottom w:val="single" w:sz="4" w:space="0" w:color="1CADE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6B6E5" w:themeColor="accent2" w:themeTint="97"/>
        <w:left w:val="single" w:sz="4" w:space="0" w:color="76B6E5" w:themeColor="accent2" w:themeTint="97"/>
        <w:bottom w:val="single" w:sz="4" w:space="0" w:color="76B6E5" w:themeColor="accent2" w:themeTint="97"/>
        <w:right w:val="single" w:sz="4" w:space="0" w:color="76B6E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6B6E5" w:themeColor="accent2" w:themeTint="97" w:fill="76B6E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6B6E5" w:themeColor="accent2" w:themeTint="97"/>
          <w:right w:val="single" w:sz="4" w:space="0" w:color="76B6E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6B6E5" w:themeColor="accent2" w:themeTint="97"/>
          <w:bottom w:val="single" w:sz="4" w:space="0" w:color="76B6E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DE1E7" w:themeColor="accent3" w:themeTint="98"/>
        <w:left w:val="single" w:sz="4" w:space="0" w:color="7DE1E7" w:themeColor="accent3" w:themeTint="98"/>
        <w:bottom w:val="single" w:sz="4" w:space="0" w:color="7DE1E7" w:themeColor="accent3" w:themeTint="98"/>
        <w:right w:val="single" w:sz="4" w:space="0" w:color="7DE1E7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DE1E7" w:themeColor="accent3" w:themeTint="98" w:fill="7DE1E7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DE1E7" w:themeColor="accent3" w:themeTint="98"/>
          <w:right w:val="single" w:sz="4" w:space="0" w:color="7DE1E7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DE1E7" w:themeColor="accent3" w:themeTint="98"/>
          <w:bottom w:val="single" w:sz="4" w:space="0" w:color="7DE1E7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BD6C0" w:themeColor="accent4" w:themeTint="9A"/>
        <w:left w:val="single" w:sz="4" w:space="0" w:color="8BD6C0" w:themeColor="accent4" w:themeTint="9A"/>
        <w:bottom w:val="single" w:sz="4" w:space="0" w:color="8BD6C0" w:themeColor="accent4" w:themeTint="9A"/>
        <w:right w:val="single" w:sz="4" w:space="0" w:color="8BD6C0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BD6C0" w:themeColor="accent4" w:themeTint="9A" w:fill="8BD6C0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BD6C0" w:themeColor="accent4" w:themeTint="9A"/>
          <w:right w:val="single" w:sz="4" w:space="0" w:color="8BD6C0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BD6C0" w:themeColor="accent4" w:themeTint="9A"/>
          <w:bottom w:val="single" w:sz="4" w:space="0" w:color="8BD6C0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DC491" w:themeColor="accent5" w:themeTint="9A"/>
        <w:left w:val="single" w:sz="4" w:space="0" w:color="7DC491" w:themeColor="accent5" w:themeTint="9A"/>
        <w:bottom w:val="single" w:sz="4" w:space="0" w:color="7DC491" w:themeColor="accent5" w:themeTint="9A"/>
        <w:right w:val="single" w:sz="4" w:space="0" w:color="7DC491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DC491" w:themeColor="accent5" w:themeTint="9A" w:fill="7DC491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7DC491" w:themeColor="accent5" w:themeTint="9A"/>
          <w:right w:val="single" w:sz="4" w:space="0" w:color="7DC491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7DC491" w:themeColor="accent5" w:themeTint="9A"/>
          <w:bottom w:val="single" w:sz="4" w:space="0" w:color="7DC491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1C8C5" w:themeColor="accent6" w:themeTint="98"/>
        <w:left w:val="single" w:sz="4" w:space="0" w:color="A1C8C5" w:themeColor="accent6" w:themeTint="98"/>
        <w:bottom w:val="single" w:sz="4" w:space="0" w:color="A1C8C5" w:themeColor="accent6" w:themeTint="98"/>
        <w:right w:val="single" w:sz="4" w:space="0" w:color="A1C8C5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1C8C5" w:themeColor="accent6" w:themeTint="98" w:fill="A1C8C5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1C8C5" w:themeColor="accent6" w:themeTint="98"/>
          <w:right w:val="single" w:sz="4" w:space="0" w:color="A1C8C5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1C8C5" w:themeColor="accent6" w:themeTint="98"/>
          <w:bottom w:val="single" w:sz="4" w:space="0" w:color="A1C8C5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ED0EF" w:themeColor="accent1" w:themeTint="90"/>
        <w:left w:val="single" w:sz="4" w:space="0" w:color="7ED0EF" w:themeColor="accent1" w:themeTint="90"/>
        <w:bottom w:val="single" w:sz="4" w:space="0" w:color="7ED0EF" w:themeColor="accent1" w:themeTint="90"/>
        <w:right w:val="single" w:sz="4" w:space="0" w:color="7ED0EF" w:themeColor="accent1" w:themeTint="90"/>
        <w:insideH w:val="single" w:sz="4" w:space="0" w:color="7ED0EF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1CADE4" w:themeColor="accent1" w:fill="1CADE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EAF8" w:themeColor="accent1" w:themeTint="40" w:fill="C5EAF8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EAF8" w:themeColor="accent1" w:themeTint="40" w:fill="C5EAF8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CB9E6" w:themeColor="accent2" w:themeTint="90"/>
        <w:left w:val="single" w:sz="4" w:space="0" w:color="7CB9E6" w:themeColor="accent2" w:themeTint="90"/>
        <w:bottom w:val="single" w:sz="4" w:space="0" w:color="7CB9E6" w:themeColor="accent2" w:themeTint="90"/>
        <w:right w:val="single" w:sz="4" w:space="0" w:color="7CB9E6" w:themeColor="accent2" w:themeTint="90"/>
        <w:insideH w:val="single" w:sz="4" w:space="0" w:color="7CB9E6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683C6" w:themeColor="accent2" w:fill="2683C6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5E0F4" w:themeColor="accent2" w:themeTint="40" w:fill="C5E0F4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5E0F4" w:themeColor="accent2" w:themeTint="40" w:fill="C5E0F4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4E3E8" w:themeColor="accent3" w:themeTint="90"/>
        <w:left w:val="single" w:sz="4" w:space="0" w:color="84E3E8" w:themeColor="accent3" w:themeTint="90"/>
        <w:bottom w:val="single" w:sz="4" w:space="0" w:color="84E3E8" w:themeColor="accent3" w:themeTint="90"/>
        <w:right w:val="single" w:sz="4" w:space="0" w:color="84E3E8" w:themeColor="accent3" w:themeTint="90"/>
        <w:insideH w:val="single" w:sz="4" w:space="0" w:color="84E3E8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27CED7" w:themeColor="accent3" w:fill="27CED7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8F2F5" w:themeColor="accent3" w:themeTint="40" w:fill="C8F2F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8F2F5" w:themeColor="accent3" w:themeTint="40" w:fill="C8F2F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3D8C4" w:themeColor="accent4" w:themeTint="90"/>
        <w:left w:val="single" w:sz="4" w:space="0" w:color="93D8C4" w:themeColor="accent4" w:themeTint="90"/>
        <w:bottom w:val="single" w:sz="4" w:space="0" w:color="93D8C4" w:themeColor="accent4" w:themeTint="90"/>
        <w:right w:val="single" w:sz="4" w:space="0" w:color="93D8C4" w:themeColor="accent4" w:themeTint="90"/>
        <w:insideH w:val="single" w:sz="4" w:space="0" w:color="93D8C4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2BA97" w:themeColor="accent4" w:fill="42BA97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EEE4" w:themeColor="accent4" w:themeTint="40" w:fill="CFEEE4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EEE4" w:themeColor="accent4" w:themeTint="40" w:fill="CFEEE4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5C798" w:themeColor="accent5" w:themeTint="90"/>
        <w:left w:val="single" w:sz="4" w:space="0" w:color="85C798" w:themeColor="accent5" w:themeTint="90"/>
        <w:bottom w:val="single" w:sz="4" w:space="0" w:color="85C798" w:themeColor="accent5" w:themeTint="90"/>
        <w:right w:val="single" w:sz="4" w:space="0" w:color="85C798" w:themeColor="accent5" w:themeTint="90"/>
        <w:insideH w:val="single" w:sz="4" w:space="0" w:color="85C798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3E8853" w:themeColor="accent5" w:fill="3E8853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9E6D1" w:themeColor="accent5" w:themeTint="40" w:fill="C9E6D1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9E6D1" w:themeColor="accent5" w:themeTint="40" w:fill="C9E6D1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CBC8" w:themeColor="accent6" w:themeTint="90"/>
        <w:left w:val="single" w:sz="4" w:space="0" w:color="A6CBC8" w:themeColor="accent6" w:themeTint="90"/>
        <w:bottom w:val="single" w:sz="4" w:space="0" w:color="A6CBC8" w:themeColor="accent6" w:themeTint="90"/>
        <w:right w:val="single" w:sz="4" w:space="0" w:color="A6CBC8" w:themeColor="accent6" w:themeTint="90"/>
        <w:insideH w:val="single" w:sz="4" w:space="0" w:color="A6CBC8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62A39F" w:themeColor="accent6" w:fill="62A39F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7E8E6" w:themeColor="accent6" w:themeTint="40" w:fill="D7E8E6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7E8E6" w:themeColor="accent6" w:themeTint="40" w:fill="D7E8E6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1CADE4" w:themeColor="accent1"/>
        <w:left w:val="single" w:sz="32" w:space="0" w:color="1CADE4" w:themeColor="accent1"/>
        <w:bottom w:val="single" w:sz="32" w:space="0" w:color="1CADE4" w:themeColor="accent1"/>
        <w:right w:val="single" w:sz="32" w:space="0" w:color="1CADE4" w:themeColor="accent1"/>
      </w:tblBorders>
      <w:shd w:val="clear" w:color="1CADE4" w:themeColor="accent1" w:fill="1CADE4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1CADE4" w:themeColor="accent1"/>
          <w:bottom w:val="single" w:sz="12" w:space="0" w:color="FFFFFF" w:themeColor="light1"/>
        </w:tcBorders>
        <w:shd w:val="clear" w:color="1CADE4" w:themeColor="accent1" w:fill="1CADE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1CADE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1CADE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1CADE4" w:themeColor="accent1" w:fill="1CADE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CADE4" w:themeColor="accent1" w:fill="1CADE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1CADE4" w:themeColor="accent1" w:fill="1CADE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6B6E5" w:themeColor="accent2" w:themeTint="97"/>
        <w:left w:val="single" w:sz="32" w:space="0" w:color="76B6E5" w:themeColor="accent2" w:themeTint="97"/>
        <w:bottom w:val="single" w:sz="32" w:space="0" w:color="76B6E5" w:themeColor="accent2" w:themeTint="97"/>
        <w:right w:val="single" w:sz="32" w:space="0" w:color="76B6E5" w:themeColor="accent2" w:themeTint="97"/>
      </w:tblBorders>
      <w:shd w:val="clear" w:color="76B6E5" w:themeColor="accent2" w:themeTint="97" w:fill="76B6E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6B6E5" w:themeColor="accent2" w:themeTint="97"/>
          <w:bottom w:val="single" w:sz="12" w:space="0" w:color="FFFFFF" w:themeColor="light1"/>
        </w:tcBorders>
        <w:shd w:val="clear" w:color="76B6E5" w:themeColor="accent2" w:themeTint="97" w:fill="76B6E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6B6E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6B6E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6B6E5" w:themeColor="accent2" w:themeTint="97" w:fill="76B6E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6B6E5" w:themeColor="accent2" w:themeTint="97" w:fill="76B6E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6B6E5" w:themeColor="accent2" w:themeTint="97" w:fill="76B6E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DE1E7" w:themeColor="accent3" w:themeTint="98"/>
        <w:left w:val="single" w:sz="32" w:space="0" w:color="7DE1E7" w:themeColor="accent3" w:themeTint="98"/>
        <w:bottom w:val="single" w:sz="32" w:space="0" w:color="7DE1E7" w:themeColor="accent3" w:themeTint="98"/>
        <w:right w:val="single" w:sz="32" w:space="0" w:color="7DE1E7" w:themeColor="accent3" w:themeTint="98"/>
      </w:tblBorders>
      <w:shd w:val="clear" w:color="7DE1E7" w:themeColor="accent3" w:themeTint="98" w:fill="7DE1E7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DE1E7" w:themeColor="accent3" w:themeTint="98"/>
          <w:bottom w:val="single" w:sz="12" w:space="0" w:color="FFFFFF" w:themeColor="light1"/>
        </w:tcBorders>
        <w:shd w:val="clear" w:color="7DE1E7" w:themeColor="accent3" w:themeTint="98" w:fill="7DE1E7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DE1E7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DE1E7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DE1E7" w:themeColor="accent3" w:themeTint="98" w:fill="7DE1E7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DE1E7" w:themeColor="accent3" w:themeTint="98" w:fill="7DE1E7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DE1E7" w:themeColor="accent3" w:themeTint="98" w:fill="7DE1E7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BD6C0" w:themeColor="accent4" w:themeTint="9A"/>
        <w:left w:val="single" w:sz="32" w:space="0" w:color="8BD6C0" w:themeColor="accent4" w:themeTint="9A"/>
        <w:bottom w:val="single" w:sz="32" w:space="0" w:color="8BD6C0" w:themeColor="accent4" w:themeTint="9A"/>
        <w:right w:val="single" w:sz="32" w:space="0" w:color="8BD6C0" w:themeColor="accent4" w:themeTint="9A"/>
      </w:tblBorders>
      <w:shd w:val="clear" w:color="8BD6C0" w:themeColor="accent4" w:themeTint="9A" w:fill="8BD6C0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BD6C0" w:themeColor="accent4" w:themeTint="9A"/>
          <w:bottom w:val="single" w:sz="12" w:space="0" w:color="FFFFFF" w:themeColor="light1"/>
        </w:tcBorders>
        <w:shd w:val="clear" w:color="8BD6C0" w:themeColor="accent4" w:themeTint="9A" w:fill="8BD6C0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BD6C0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BD6C0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BD6C0" w:themeColor="accent4" w:themeTint="9A" w:fill="8BD6C0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BD6C0" w:themeColor="accent4" w:themeTint="9A" w:fill="8BD6C0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BD6C0" w:themeColor="accent4" w:themeTint="9A" w:fill="8BD6C0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DC491" w:themeColor="accent5" w:themeTint="9A"/>
        <w:left w:val="single" w:sz="32" w:space="0" w:color="7DC491" w:themeColor="accent5" w:themeTint="9A"/>
        <w:bottom w:val="single" w:sz="32" w:space="0" w:color="7DC491" w:themeColor="accent5" w:themeTint="9A"/>
        <w:right w:val="single" w:sz="32" w:space="0" w:color="7DC491" w:themeColor="accent5" w:themeTint="9A"/>
      </w:tblBorders>
      <w:shd w:val="clear" w:color="7DC491" w:themeColor="accent5" w:themeTint="9A" w:fill="7DC491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DC491" w:themeColor="accent5" w:themeTint="9A"/>
          <w:bottom w:val="single" w:sz="12" w:space="0" w:color="FFFFFF" w:themeColor="light1"/>
        </w:tcBorders>
        <w:shd w:val="clear" w:color="7DC491" w:themeColor="accent5" w:themeTint="9A" w:fill="7DC491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DC491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DC491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DC491" w:themeColor="accent5" w:themeTint="9A" w:fill="7DC491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DC491" w:themeColor="accent5" w:themeTint="9A" w:fill="7DC491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DC491" w:themeColor="accent5" w:themeTint="9A" w:fill="7DC491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1C8C5" w:themeColor="accent6" w:themeTint="98"/>
        <w:left w:val="single" w:sz="32" w:space="0" w:color="A1C8C5" w:themeColor="accent6" w:themeTint="98"/>
        <w:bottom w:val="single" w:sz="32" w:space="0" w:color="A1C8C5" w:themeColor="accent6" w:themeTint="98"/>
        <w:right w:val="single" w:sz="32" w:space="0" w:color="A1C8C5" w:themeColor="accent6" w:themeTint="98"/>
      </w:tblBorders>
      <w:shd w:val="clear" w:color="A1C8C5" w:themeColor="accent6" w:themeTint="98" w:fill="A1C8C5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1C8C5" w:themeColor="accent6" w:themeTint="98"/>
          <w:bottom w:val="single" w:sz="12" w:space="0" w:color="FFFFFF" w:themeColor="light1"/>
        </w:tcBorders>
        <w:shd w:val="clear" w:color="A1C8C5" w:themeColor="accent6" w:themeTint="98" w:fill="A1C8C5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1C8C5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1C8C5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1C8C5" w:themeColor="accent6" w:themeTint="98" w:fill="A1C8C5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1C8C5" w:themeColor="accent6" w:themeTint="98" w:fill="A1C8C5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1C8C5" w:themeColor="accent6" w:themeTint="98" w:fill="A1C8C5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1CADE4" w:themeColor="accent1"/>
        <w:bottom w:val="single" w:sz="4" w:space="0" w:color="1CADE4" w:themeColor="accent1"/>
      </w:tblBorders>
    </w:tblPr>
    <w:tblStylePr w:type="firstRow">
      <w:rPr>
        <w:b/>
        <w:color w:val="106485" w:themeColor="accent1" w:themeShade="95"/>
      </w:rPr>
      <w:tblPr/>
      <w:tcPr>
        <w:tcBorders>
          <w:bottom w:val="single" w:sz="4" w:space="0" w:color="1CADE4" w:themeColor="accent1"/>
        </w:tcBorders>
      </w:tcPr>
    </w:tblStylePr>
    <w:tblStylePr w:type="lastRow">
      <w:rPr>
        <w:b/>
        <w:color w:val="106485" w:themeColor="accent1" w:themeShade="95"/>
      </w:rPr>
      <w:tblPr/>
      <w:tcPr>
        <w:tcBorders>
          <w:top w:val="single" w:sz="4" w:space="0" w:color="1CADE4" w:themeColor="accent1"/>
        </w:tcBorders>
      </w:tcPr>
    </w:tblStylePr>
    <w:tblStylePr w:type="firstCol">
      <w:rPr>
        <w:b/>
        <w:color w:val="106485" w:themeColor="accent1" w:themeShade="95"/>
      </w:rPr>
    </w:tblStylePr>
    <w:tblStylePr w:type="lastCol">
      <w:rPr>
        <w:b/>
        <w:color w:val="106485" w:themeColor="accent1" w:themeShade="95"/>
      </w:rPr>
    </w:tblStylePr>
    <w:tblStylePr w:type="band1Vert">
      <w:tblPr/>
      <w:tcPr>
        <w:shd w:val="clear" w:color="C5EAF8" w:themeColor="accent1" w:themeTint="40" w:fill="C5EAF8" w:themeFill="accent1" w:themeFillTint="40"/>
      </w:tcPr>
    </w:tblStylePr>
    <w:tblStylePr w:type="band1Horz">
      <w:rPr>
        <w:rFonts w:ascii="Arial" w:hAnsi="Arial"/>
        <w:color w:val="106485" w:themeColor="accent1" w:themeShade="95"/>
        <w:sz w:val="22"/>
      </w:rPr>
      <w:tblPr/>
      <w:tcPr>
        <w:shd w:val="clear" w:color="C5EAF8" w:themeColor="accent1" w:themeTint="40" w:fill="C5EAF8" w:themeFill="accent1" w:themeFillTint="40"/>
      </w:tcPr>
    </w:tblStylePr>
    <w:tblStylePr w:type="band2Horz">
      <w:rPr>
        <w:rFonts w:ascii="Arial" w:hAnsi="Arial"/>
        <w:color w:val="10648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6B6E5" w:themeColor="accent2" w:themeTint="97"/>
        <w:bottom w:val="single" w:sz="4" w:space="0" w:color="76B6E5" w:themeColor="accent2" w:themeTint="97"/>
      </w:tblBorders>
    </w:tblPr>
    <w:tblStylePr w:type="firstRow">
      <w:rPr>
        <w:b/>
        <w:color w:val="76B6E5" w:themeColor="accent2" w:themeTint="97" w:themeShade="95"/>
      </w:rPr>
      <w:tblPr/>
      <w:tcPr>
        <w:tcBorders>
          <w:bottom w:val="single" w:sz="4" w:space="0" w:color="76B6E5" w:themeColor="accent2" w:themeTint="97"/>
        </w:tcBorders>
      </w:tcPr>
    </w:tblStylePr>
    <w:tblStylePr w:type="lastRow">
      <w:rPr>
        <w:b/>
        <w:color w:val="76B6E5" w:themeColor="accent2" w:themeTint="97" w:themeShade="95"/>
      </w:rPr>
      <w:tblPr/>
      <w:tcPr>
        <w:tcBorders>
          <w:top w:val="single" w:sz="4" w:space="0" w:color="76B6E5" w:themeColor="accent2" w:themeTint="97"/>
        </w:tcBorders>
      </w:tcPr>
    </w:tblStylePr>
    <w:tblStylePr w:type="firstCol">
      <w:rPr>
        <w:b/>
        <w:color w:val="76B6E5" w:themeColor="accent2" w:themeTint="97" w:themeShade="95"/>
      </w:rPr>
    </w:tblStylePr>
    <w:tblStylePr w:type="lastCol">
      <w:rPr>
        <w:b/>
        <w:color w:val="76B6E5" w:themeColor="accent2" w:themeTint="97" w:themeShade="95"/>
      </w:rPr>
    </w:tblStylePr>
    <w:tblStylePr w:type="band1Vert">
      <w:tblPr/>
      <w:tcPr>
        <w:shd w:val="clear" w:color="C5E0F4" w:themeColor="accent2" w:themeTint="40" w:fill="C5E0F4" w:themeFill="accent2" w:themeFillTint="40"/>
      </w:tcPr>
    </w:tblStylePr>
    <w:tblStylePr w:type="band1Horz">
      <w:rPr>
        <w:rFonts w:ascii="Arial" w:hAnsi="Arial"/>
        <w:color w:val="76B6E5" w:themeColor="accent2" w:themeTint="97" w:themeShade="95"/>
        <w:sz w:val="22"/>
      </w:rPr>
      <w:tblPr/>
      <w:tcPr>
        <w:shd w:val="clear" w:color="C5E0F4" w:themeColor="accent2" w:themeTint="40" w:fill="C5E0F4" w:themeFill="accent2" w:themeFillTint="40"/>
      </w:tcPr>
    </w:tblStylePr>
    <w:tblStylePr w:type="band2Horz">
      <w:rPr>
        <w:rFonts w:ascii="Arial" w:hAnsi="Arial"/>
        <w:color w:val="76B6E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DE1E7" w:themeColor="accent3" w:themeTint="98"/>
        <w:bottom w:val="single" w:sz="4" w:space="0" w:color="7DE1E7" w:themeColor="accent3" w:themeTint="98"/>
      </w:tblBorders>
    </w:tblPr>
    <w:tblStylePr w:type="firstRow">
      <w:rPr>
        <w:b/>
        <w:color w:val="7DE1E7" w:themeColor="accent3" w:themeTint="98" w:themeShade="95"/>
      </w:rPr>
      <w:tblPr/>
      <w:tcPr>
        <w:tcBorders>
          <w:bottom w:val="single" w:sz="4" w:space="0" w:color="7DE1E7" w:themeColor="accent3" w:themeTint="98"/>
        </w:tcBorders>
      </w:tcPr>
    </w:tblStylePr>
    <w:tblStylePr w:type="lastRow">
      <w:rPr>
        <w:b/>
        <w:color w:val="7DE1E7" w:themeColor="accent3" w:themeTint="98" w:themeShade="95"/>
      </w:rPr>
      <w:tblPr/>
      <w:tcPr>
        <w:tcBorders>
          <w:top w:val="single" w:sz="4" w:space="0" w:color="7DE1E7" w:themeColor="accent3" w:themeTint="98"/>
        </w:tcBorders>
      </w:tcPr>
    </w:tblStylePr>
    <w:tblStylePr w:type="firstCol">
      <w:rPr>
        <w:b/>
        <w:color w:val="7DE1E7" w:themeColor="accent3" w:themeTint="98" w:themeShade="95"/>
      </w:rPr>
    </w:tblStylePr>
    <w:tblStylePr w:type="lastCol">
      <w:rPr>
        <w:b/>
        <w:color w:val="7DE1E7" w:themeColor="accent3" w:themeTint="98" w:themeShade="95"/>
      </w:rPr>
    </w:tblStylePr>
    <w:tblStylePr w:type="band1Vert">
      <w:tblPr/>
      <w:tcPr>
        <w:shd w:val="clear" w:color="C8F2F5" w:themeColor="accent3" w:themeTint="40" w:fill="C8F2F5" w:themeFill="accent3" w:themeFillTint="40"/>
      </w:tcPr>
    </w:tblStylePr>
    <w:tblStylePr w:type="band1Horz">
      <w:rPr>
        <w:rFonts w:ascii="Arial" w:hAnsi="Arial"/>
        <w:color w:val="7DE1E7" w:themeColor="accent3" w:themeTint="98" w:themeShade="95"/>
        <w:sz w:val="22"/>
      </w:rPr>
      <w:tblPr/>
      <w:tcPr>
        <w:shd w:val="clear" w:color="C8F2F5" w:themeColor="accent3" w:themeTint="40" w:fill="C8F2F5" w:themeFill="accent3" w:themeFillTint="40"/>
      </w:tcPr>
    </w:tblStylePr>
    <w:tblStylePr w:type="band2Horz">
      <w:rPr>
        <w:rFonts w:ascii="Arial" w:hAnsi="Arial"/>
        <w:color w:val="7DE1E7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BD6C0" w:themeColor="accent4" w:themeTint="9A"/>
        <w:bottom w:val="single" w:sz="4" w:space="0" w:color="8BD6C0" w:themeColor="accent4" w:themeTint="9A"/>
      </w:tblBorders>
    </w:tblPr>
    <w:tblStylePr w:type="firstRow">
      <w:rPr>
        <w:b/>
        <w:color w:val="8BD6C0" w:themeColor="accent4" w:themeTint="9A" w:themeShade="95"/>
      </w:rPr>
      <w:tblPr/>
      <w:tcPr>
        <w:tcBorders>
          <w:bottom w:val="single" w:sz="4" w:space="0" w:color="8BD6C0" w:themeColor="accent4" w:themeTint="9A"/>
        </w:tcBorders>
      </w:tcPr>
    </w:tblStylePr>
    <w:tblStylePr w:type="lastRow">
      <w:rPr>
        <w:b/>
        <w:color w:val="8BD6C0" w:themeColor="accent4" w:themeTint="9A" w:themeShade="95"/>
      </w:rPr>
      <w:tblPr/>
      <w:tcPr>
        <w:tcBorders>
          <w:top w:val="single" w:sz="4" w:space="0" w:color="8BD6C0" w:themeColor="accent4" w:themeTint="9A"/>
        </w:tcBorders>
      </w:tcPr>
    </w:tblStylePr>
    <w:tblStylePr w:type="firstCol">
      <w:rPr>
        <w:b/>
        <w:color w:val="8BD6C0" w:themeColor="accent4" w:themeTint="9A" w:themeShade="95"/>
      </w:rPr>
    </w:tblStylePr>
    <w:tblStylePr w:type="lastCol">
      <w:rPr>
        <w:b/>
        <w:color w:val="8BD6C0" w:themeColor="accent4" w:themeTint="9A" w:themeShade="95"/>
      </w:rPr>
    </w:tblStylePr>
    <w:tblStylePr w:type="band1Vert">
      <w:tblPr/>
      <w:tcPr>
        <w:shd w:val="clear" w:color="CFEEE4" w:themeColor="accent4" w:themeTint="40" w:fill="CFEEE4" w:themeFill="accent4" w:themeFillTint="40"/>
      </w:tcPr>
    </w:tblStylePr>
    <w:tblStylePr w:type="band1Horz">
      <w:rPr>
        <w:rFonts w:ascii="Arial" w:hAnsi="Arial"/>
        <w:color w:val="8BD6C0" w:themeColor="accent4" w:themeTint="9A" w:themeShade="95"/>
        <w:sz w:val="22"/>
      </w:rPr>
      <w:tblPr/>
      <w:tcPr>
        <w:shd w:val="clear" w:color="CFEEE4" w:themeColor="accent4" w:themeTint="40" w:fill="CFEEE4" w:themeFill="accent4" w:themeFillTint="40"/>
      </w:tcPr>
    </w:tblStylePr>
    <w:tblStylePr w:type="band2Horz">
      <w:rPr>
        <w:rFonts w:ascii="Arial" w:hAnsi="Arial"/>
        <w:color w:val="8BD6C0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DC491" w:themeColor="accent5" w:themeTint="9A"/>
        <w:bottom w:val="single" w:sz="4" w:space="0" w:color="7DC491" w:themeColor="accent5" w:themeTint="9A"/>
      </w:tblBorders>
    </w:tblPr>
    <w:tblStylePr w:type="firstRow">
      <w:rPr>
        <w:b/>
        <w:color w:val="7DC491" w:themeColor="accent5" w:themeTint="9A" w:themeShade="95"/>
      </w:rPr>
      <w:tblPr/>
      <w:tcPr>
        <w:tcBorders>
          <w:bottom w:val="single" w:sz="4" w:space="0" w:color="7DC491" w:themeColor="accent5" w:themeTint="9A"/>
        </w:tcBorders>
      </w:tcPr>
    </w:tblStylePr>
    <w:tblStylePr w:type="lastRow">
      <w:rPr>
        <w:b/>
        <w:color w:val="7DC491" w:themeColor="accent5" w:themeTint="9A" w:themeShade="95"/>
      </w:rPr>
      <w:tblPr/>
      <w:tcPr>
        <w:tcBorders>
          <w:top w:val="single" w:sz="4" w:space="0" w:color="7DC491" w:themeColor="accent5" w:themeTint="9A"/>
        </w:tcBorders>
      </w:tcPr>
    </w:tblStylePr>
    <w:tblStylePr w:type="firstCol">
      <w:rPr>
        <w:b/>
        <w:color w:val="7DC491" w:themeColor="accent5" w:themeTint="9A" w:themeShade="95"/>
      </w:rPr>
    </w:tblStylePr>
    <w:tblStylePr w:type="lastCol">
      <w:rPr>
        <w:b/>
        <w:color w:val="7DC491" w:themeColor="accent5" w:themeTint="9A" w:themeShade="95"/>
      </w:rPr>
    </w:tblStylePr>
    <w:tblStylePr w:type="band1Vert">
      <w:tblPr/>
      <w:tcPr>
        <w:shd w:val="clear" w:color="C9E6D1" w:themeColor="accent5" w:themeTint="40" w:fill="C9E6D1" w:themeFill="accent5" w:themeFillTint="40"/>
      </w:tcPr>
    </w:tblStylePr>
    <w:tblStylePr w:type="band1Horz">
      <w:rPr>
        <w:rFonts w:ascii="Arial" w:hAnsi="Arial"/>
        <w:color w:val="7DC491" w:themeColor="accent5" w:themeTint="9A" w:themeShade="95"/>
        <w:sz w:val="22"/>
      </w:rPr>
      <w:tblPr/>
      <w:tcPr>
        <w:shd w:val="clear" w:color="C9E6D1" w:themeColor="accent5" w:themeTint="40" w:fill="C9E6D1" w:themeFill="accent5" w:themeFillTint="40"/>
      </w:tcPr>
    </w:tblStylePr>
    <w:tblStylePr w:type="band2Horz">
      <w:rPr>
        <w:rFonts w:ascii="Arial" w:hAnsi="Arial"/>
        <w:color w:val="7DC491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1C8C5" w:themeColor="accent6" w:themeTint="98"/>
        <w:bottom w:val="single" w:sz="4" w:space="0" w:color="A1C8C5" w:themeColor="accent6" w:themeTint="98"/>
      </w:tblBorders>
    </w:tblPr>
    <w:tblStylePr w:type="firstRow">
      <w:rPr>
        <w:b/>
        <w:color w:val="A1C8C5" w:themeColor="accent6" w:themeTint="98" w:themeShade="95"/>
      </w:rPr>
      <w:tblPr/>
      <w:tcPr>
        <w:tcBorders>
          <w:bottom w:val="single" w:sz="4" w:space="0" w:color="A1C8C5" w:themeColor="accent6" w:themeTint="98"/>
        </w:tcBorders>
      </w:tcPr>
    </w:tblStylePr>
    <w:tblStylePr w:type="lastRow">
      <w:rPr>
        <w:b/>
        <w:color w:val="A1C8C5" w:themeColor="accent6" w:themeTint="98" w:themeShade="95"/>
      </w:rPr>
      <w:tblPr/>
      <w:tcPr>
        <w:tcBorders>
          <w:top w:val="single" w:sz="4" w:space="0" w:color="A1C8C5" w:themeColor="accent6" w:themeTint="98"/>
        </w:tcBorders>
      </w:tcPr>
    </w:tblStylePr>
    <w:tblStylePr w:type="firstCol">
      <w:rPr>
        <w:b/>
        <w:color w:val="A1C8C5" w:themeColor="accent6" w:themeTint="98" w:themeShade="95"/>
      </w:rPr>
    </w:tblStylePr>
    <w:tblStylePr w:type="lastCol">
      <w:rPr>
        <w:b/>
        <w:color w:val="A1C8C5" w:themeColor="accent6" w:themeTint="98" w:themeShade="95"/>
      </w:rPr>
    </w:tblStylePr>
    <w:tblStylePr w:type="band1Vert">
      <w:tblPr/>
      <w:tcPr>
        <w:shd w:val="clear" w:color="D7E8E6" w:themeColor="accent6" w:themeTint="40" w:fill="D7E8E6" w:themeFill="accent6" w:themeFillTint="40"/>
      </w:tcPr>
    </w:tblStylePr>
    <w:tblStylePr w:type="band1Horz">
      <w:rPr>
        <w:rFonts w:ascii="Arial" w:hAnsi="Arial"/>
        <w:color w:val="A1C8C5" w:themeColor="accent6" w:themeTint="98" w:themeShade="95"/>
        <w:sz w:val="22"/>
      </w:rPr>
      <w:tblPr/>
      <w:tcPr>
        <w:shd w:val="clear" w:color="D7E8E6" w:themeColor="accent6" w:themeTint="40" w:fill="D7E8E6" w:themeFill="accent6" w:themeFillTint="40"/>
      </w:tcPr>
    </w:tblStylePr>
    <w:tblStylePr w:type="band2Horz">
      <w:rPr>
        <w:rFonts w:ascii="Arial" w:hAnsi="Arial"/>
        <w:color w:val="A1C8C5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1CADE4" w:themeColor="accent1"/>
      </w:tblBorders>
    </w:tblPr>
    <w:tblStylePr w:type="firstRow">
      <w:rPr>
        <w:rFonts w:ascii="Arial" w:hAnsi="Arial"/>
        <w:i/>
        <w:color w:val="10648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1CADE4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106485" w:themeColor="accent1" w:themeShade="95"/>
        <w:sz w:val="22"/>
      </w:rPr>
      <w:tblPr/>
      <w:tcPr>
        <w:tcBorders>
          <w:top w:val="single" w:sz="4" w:space="0" w:color="1CADE4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106485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1CADE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106485" w:themeColor="accent1" w:themeShade="95"/>
        <w:sz w:val="22"/>
      </w:rPr>
      <w:tblPr/>
      <w:tcPr>
        <w:tcBorders>
          <w:top w:val="none" w:sz="4" w:space="0" w:color="000000"/>
          <w:left w:val="single" w:sz="4" w:space="0" w:color="1CADE4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5EAF8" w:themeColor="accent1" w:themeTint="40" w:fill="C5EAF8" w:themeFill="accent1" w:themeFillTint="40"/>
      </w:tcPr>
    </w:tblStylePr>
    <w:tblStylePr w:type="band1Horz">
      <w:rPr>
        <w:rFonts w:ascii="Arial" w:hAnsi="Arial"/>
        <w:color w:val="106485" w:themeColor="accent1" w:themeShade="95"/>
        <w:sz w:val="22"/>
      </w:rPr>
      <w:tblPr/>
      <w:tcPr>
        <w:shd w:val="clear" w:color="C5EAF8" w:themeColor="accent1" w:themeTint="40" w:fill="C5EAF8" w:themeFill="accent1" w:themeFillTint="40"/>
      </w:tcPr>
    </w:tblStylePr>
    <w:tblStylePr w:type="band2Horz">
      <w:rPr>
        <w:rFonts w:ascii="Arial" w:hAnsi="Arial"/>
        <w:color w:val="10648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6B6E5" w:themeColor="accent2" w:themeTint="97"/>
      </w:tblBorders>
    </w:tblPr>
    <w:tblStylePr w:type="firstRow">
      <w:rPr>
        <w:rFonts w:ascii="Arial" w:hAnsi="Arial"/>
        <w:i/>
        <w:color w:val="76B6E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6B6E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6B6E5" w:themeColor="accent2" w:themeTint="97" w:themeShade="95"/>
        <w:sz w:val="22"/>
      </w:rPr>
      <w:tblPr/>
      <w:tcPr>
        <w:tcBorders>
          <w:top w:val="single" w:sz="4" w:space="0" w:color="76B6E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6B6E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6B6E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76B6E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76B6E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5E0F4" w:themeColor="accent2" w:themeTint="40" w:fill="C5E0F4" w:themeFill="accent2" w:themeFillTint="40"/>
      </w:tcPr>
    </w:tblStylePr>
    <w:tblStylePr w:type="band1Horz">
      <w:rPr>
        <w:rFonts w:ascii="Arial" w:hAnsi="Arial"/>
        <w:color w:val="76B6E5" w:themeColor="accent2" w:themeTint="97" w:themeShade="95"/>
        <w:sz w:val="22"/>
      </w:rPr>
      <w:tblPr/>
      <w:tcPr>
        <w:shd w:val="clear" w:color="C5E0F4" w:themeColor="accent2" w:themeTint="40" w:fill="C5E0F4" w:themeFill="accent2" w:themeFillTint="40"/>
      </w:tcPr>
    </w:tblStylePr>
    <w:tblStylePr w:type="band2Horz">
      <w:rPr>
        <w:rFonts w:ascii="Arial" w:hAnsi="Arial"/>
        <w:color w:val="76B6E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DE1E7" w:themeColor="accent3" w:themeTint="98"/>
      </w:tblBorders>
    </w:tblPr>
    <w:tblStylePr w:type="firstRow">
      <w:rPr>
        <w:rFonts w:ascii="Arial" w:hAnsi="Arial"/>
        <w:i/>
        <w:color w:val="7DE1E7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DE1E7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E1E7" w:themeColor="accent3" w:themeTint="98" w:themeShade="95"/>
        <w:sz w:val="22"/>
      </w:rPr>
      <w:tblPr/>
      <w:tcPr>
        <w:tcBorders>
          <w:top w:val="single" w:sz="4" w:space="0" w:color="7DE1E7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E1E7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DE1E7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7DE1E7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7DE1E7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8F2F5" w:themeColor="accent3" w:themeTint="40" w:fill="C8F2F5" w:themeFill="accent3" w:themeFillTint="40"/>
      </w:tcPr>
    </w:tblStylePr>
    <w:tblStylePr w:type="band1Horz">
      <w:rPr>
        <w:rFonts w:ascii="Arial" w:hAnsi="Arial"/>
        <w:color w:val="7DE1E7" w:themeColor="accent3" w:themeTint="98" w:themeShade="95"/>
        <w:sz w:val="22"/>
      </w:rPr>
      <w:tblPr/>
      <w:tcPr>
        <w:shd w:val="clear" w:color="C8F2F5" w:themeColor="accent3" w:themeTint="40" w:fill="C8F2F5" w:themeFill="accent3" w:themeFillTint="40"/>
      </w:tcPr>
    </w:tblStylePr>
    <w:tblStylePr w:type="band2Horz">
      <w:rPr>
        <w:rFonts w:ascii="Arial" w:hAnsi="Arial"/>
        <w:color w:val="7DE1E7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BD6C0" w:themeColor="accent4" w:themeTint="9A"/>
      </w:tblBorders>
    </w:tblPr>
    <w:tblStylePr w:type="firstRow">
      <w:rPr>
        <w:rFonts w:ascii="Arial" w:hAnsi="Arial"/>
        <w:i/>
        <w:color w:val="8BD6C0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BD6C0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BD6C0" w:themeColor="accent4" w:themeTint="9A" w:themeShade="95"/>
        <w:sz w:val="22"/>
      </w:rPr>
      <w:tblPr/>
      <w:tcPr>
        <w:tcBorders>
          <w:top w:val="single" w:sz="4" w:space="0" w:color="8BD6C0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BD6C0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BD6C0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BD6C0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8BD6C0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EEE4" w:themeColor="accent4" w:themeTint="40" w:fill="CFEEE4" w:themeFill="accent4" w:themeFillTint="40"/>
      </w:tcPr>
    </w:tblStylePr>
    <w:tblStylePr w:type="band1Horz">
      <w:rPr>
        <w:rFonts w:ascii="Arial" w:hAnsi="Arial"/>
        <w:color w:val="8BD6C0" w:themeColor="accent4" w:themeTint="9A" w:themeShade="95"/>
        <w:sz w:val="22"/>
      </w:rPr>
      <w:tblPr/>
      <w:tcPr>
        <w:shd w:val="clear" w:color="CFEEE4" w:themeColor="accent4" w:themeTint="40" w:fill="CFEEE4" w:themeFill="accent4" w:themeFillTint="40"/>
      </w:tcPr>
    </w:tblStylePr>
    <w:tblStylePr w:type="band2Horz">
      <w:rPr>
        <w:rFonts w:ascii="Arial" w:hAnsi="Arial"/>
        <w:color w:val="8BD6C0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DC491" w:themeColor="accent5" w:themeTint="9A"/>
      </w:tblBorders>
    </w:tblPr>
    <w:tblStylePr w:type="firstRow">
      <w:rPr>
        <w:rFonts w:ascii="Arial" w:hAnsi="Arial"/>
        <w:i/>
        <w:color w:val="7DC491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DC491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DC491" w:themeColor="accent5" w:themeTint="9A" w:themeShade="95"/>
        <w:sz w:val="22"/>
      </w:rPr>
      <w:tblPr/>
      <w:tcPr>
        <w:tcBorders>
          <w:top w:val="single" w:sz="4" w:space="0" w:color="7DC491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DC491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DC491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7DC491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7DC491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9E6D1" w:themeColor="accent5" w:themeTint="40" w:fill="C9E6D1" w:themeFill="accent5" w:themeFillTint="40"/>
      </w:tcPr>
    </w:tblStylePr>
    <w:tblStylePr w:type="band1Horz">
      <w:rPr>
        <w:rFonts w:ascii="Arial" w:hAnsi="Arial"/>
        <w:color w:val="7DC491" w:themeColor="accent5" w:themeTint="9A" w:themeShade="95"/>
        <w:sz w:val="22"/>
      </w:rPr>
      <w:tblPr/>
      <w:tcPr>
        <w:shd w:val="clear" w:color="C9E6D1" w:themeColor="accent5" w:themeTint="40" w:fill="C9E6D1" w:themeFill="accent5" w:themeFillTint="40"/>
      </w:tcPr>
    </w:tblStylePr>
    <w:tblStylePr w:type="band2Horz">
      <w:rPr>
        <w:rFonts w:ascii="Arial" w:hAnsi="Arial"/>
        <w:color w:val="7DC491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1C8C5" w:themeColor="accent6" w:themeTint="98"/>
      </w:tblBorders>
    </w:tblPr>
    <w:tblStylePr w:type="firstRow">
      <w:rPr>
        <w:rFonts w:ascii="Arial" w:hAnsi="Arial"/>
        <w:i/>
        <w:color w:val="A1C8C5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1C8C5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1C8C5" w:themeColor="accent6" w:themeTint="98" w:themeShade="95"/>
        <w:sz w:val="22"/>
      </w:rPr>
      <w:tblPr/>
      <w:tcPr>
        <w:tcBorders>
          <w:top w:val="single" w:sz="4" w:space="0" w:color="A1C8C5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1C8C5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1C8C5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1C8C5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1C8C5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7E8E6" w:themeColor="accent6" w:themeTint="40" w:fill="D7E8E6" w:themeFill="accent6" w:themeFillTint="40"/>
      </w:tcPr>
    </w:tblStylePr>
    <w:tblStylePr w:type="band1Horz">
      <w:rPr>
        <w:rFonts w:ascii="Arial" w:hAnsi="Arial"/>
        <w:color w:val="A1C8C5" w:themeColor="accent6" w:themeTint="98" w:themeShade="95"/>
        <w:sz w:val="22"/>
      </w:rPr>
      <w:tblPr/>
      <w:tcPr>
        <w:shd w:val="clear" w:color="D7E8E6" w:themeColor="accent6" w:themeTint="40" w:fill="D7E8E6" w:themeFill="accent6" w:themeFillTint="40"/>
      </w:tcPr>
    </w:tblStylePr>
    <w:tblStylePr w:type="band2Horz">
      <w:rPr>
        <w:rFonts w:ascii="Arial" w:hAnsi="Arial"/>
        <w:color w:val="A1C8C5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2EB3E6" w:themeColor="accent1" w:themeTint="EA" w:fill="2EB3E6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EB3E6" w:themeColor="accent1" w:themeTint="EA" w:fill="2EB3E6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EB3E6" w:themeColor="accent1" w:themeTint="EA" w:fill="2EB3E6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EB3E6" w:themeColor="accent1" w:themeTint="EA" w:fill="2EB3E6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E4F6" w:themeColor="accent1" w:themeTint="50" w:fill="B7E4F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E4F6" w:themeColor="accent1" w:themeTint="50" w:fill="B7E4F6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6B6E5" w:themeColor="accent2" w:themeTint="97" w:fill="76B6E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6B6E5" w:themeColor="accent2" w:themeTint="97" w:fill="76B6E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6B6E5" w:themeColor="accent2" w:themeTint="97" w:fill="76B6E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6B6E5" w:themeColor="accent2" w:themeTint="97" w:fill="76B6E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1E6F6" w:themeColor="accent2" w:themeTint="32" w:fill="D1E6F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1E6F6" w:themeColor="accent2" w:themeTint="32" w:fill="D1E6F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27CED7" w:themeColor="accent3" w:themeTint="FE" w:fill="27CED7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7CED7" w:themeColor="accent3" w:themeTint="FE" w:fill="27CED7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7CED7" w:themeColor="accent3" w:themeTint="FE" w:fill="27CED7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7CED7" w:themeColor="accent3" w:themeTint="FE" w:fill="27CED7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2F5F7" w:themeColor="accent3" w:themeTint="34" w:fill="D2F5F7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2F5F7" w:themeColor="accent3" w:themeTint="34" w:fill="D2F5F7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8BD6C0" w:themeColor="accent4" w:themeTint="9A" w:fill="8BD6C0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BD6C0" w:themeColor="accent4" w:themeTint="9A" w:fill="8BD6C0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BD6C0" w:themeColor="accent4" w:themeTint="9A" w:fill="8BD6C0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BD6C0" w:themeColor="accent4" w:themeTint="9A" w:fill="8BD6C0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1E9" w:themeColor="accent4" w:themeTint="34" w:fill="D8F1E9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1E9" w:themeColor="accent4" w:themeTint="34" w:fill="D8F1E9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3E8853" w:themeColor="accent5" w:fill="3E885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E8853" w:themeColor="accent5" w:fill="3E885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E8853" w:themeColor="accent5" w:fill="3E885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E8853" w:themeColor="accent5" w:fill="3E885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3EBD9" w:themeColor="accent5" w:themeTint="34" w:fill="D3EBD9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3EBD9" w:themeColor="accent5" w:themeTint="34" w:fill="D3EBD9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2A39F" w:themeColor="accent6" w:fill="62A39F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2A39F" w:themeColor="accent6" w:fill="62A39F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2A39F" w:themeColor="accent6" w:fill="62A39F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2A39F" w:themeColor="accent6" w:fill="62A39F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ECEB" w:themeColor="accent6" w:themeTint="34" w:fill="DEECEB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ECEB" w:themeColor="accent6" w:themeTint="34" w:fill="DEECEB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06485" w:themeColor="accent1" w:themeShade="95"/>
        <w:left w:val="single" w:sz="4" w:space="0" w:color="106485" w:themeColor="accent1" w:themeShade="95"/>
        <w:bottom w:val="single" w:sz="4" w:space="0" w:color="106485" w:themeColor="accent1" w:themeShade="95"/>
        <w:right w:val="single" w:sz="4" w:space="0" w:color="106485" w:themeColor="accent1" w:themeShade="95"/>
        <w:insideH w:val="single" w:sz="4" w:space="0" w:color="106485" w:themeColor="accent1" w:themeShade="95"/>
        <w:insideV w:val="single" w:sz="4" w:space="0" w:color="106485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2EB3E6" w:themeColor="accent1" w:themeTint="EA" w:fill="2EB3E6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EB3E6" w:themeColor="accent1" w:themeTint="EA" w:fill="2EB3E6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EB3E6" w:themeColor="accent1" w:themeTint="EA" w:fill="2EB3E6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EB3E6" w:themeColor="accent1" w:themeTint="EA" w:fill="2EB3E6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B7E4F6" w:themeColor="accent1" w:themeTint="50" w:fill="B7E4F6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B7E4F6" w:themeColor="accent1" w:themeTint="50" w:fill="B7E4F6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64C73" w:themeColor="accent2" w:themeShade="95"/>
        <w:left w:val="single" w:sz="4" w:space="0" w:color="164C73" w:themeColor="accent2" w:themeShade="95"/>
        <w:bottom w:val="single" w:sz="4" w:space="0" w:color="164C73" w:themeColor="accent2" w:themeShade="95"/>
        <w:right w:val="single" w:sz="4" w:space="0" w:color="164C73" w:themeColor="accent2" w:themeShade="95"/>
        <w:insideH w:val="single" w:sz="4" w:space="0" w:color="164C73" w:themeColor="accent2" w:themeShade="95"/>
        <w:insideV w:val="single" w:sz="4" w:space="0" w:color="164C73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6B6E5" w:themeColor="accent2" w:themeTint="97" w:fill="76B6E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6B6E5" w:themeColor="accent2" w:themeTint="97" w:fill="76B6E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6B6E5" w:themeColor="accent2" w:themeTint="97" w:fill="76B6E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6B6E5" w:themeColor="accent2" w:themeTint="97" w:fill="76B6E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1E6F6" w:themeColor="accent2" w:themeTint="32" w:fill="D1E6F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1E6F6" w:themeColor="accent2" w:themeTint="32" w:fill="D1E6F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16777D" w:themeColor="accent3" w:themeShade="95"/>
        <w:left w:val="single" w:sz="4" w:space="0" w:color="16777D" w:themeColor="accent3" w:themeShade="95"/>
        <w:bottom w:val="single" w:sz="4" w:space="0" w:color="16777D" w:themeColor="accent3" w:themeShade="95"/>
        <w:right w:val="single" w:sz="4" w:space="0" w:color="16777D" w:themeColor="accent3" w:themeShade="95"/>
        <w:insideH w:val="single" w:sz="4" w:space="0" w:color="16777D" w:themeColor="accent3" w:themeShade="95"/>
        <w:insideV w:val="single" w:sz="4" w:space="0" w:color="16777D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27CED7" w:themeColor="accent3" w:themeTint="FE" w:fill="27CED7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27CED7" w:themeColor="accent3" w:themeTint="FE" w:fill="27CED7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27CED7" w:themeColor="accent3" w:themeTint="FE" w:fill="27CED7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27CED7" w:themeColor="accent3" w:themeTint="FE" w:fill="27CED7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2F5F7" w:themeColor="accent3" w:themeTint="34" w:fill="D2F5F7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2F5F7" w:themeColor="accent3" w:themeTint="34" w:fill="D2F5F7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C57" w:themeColor="accent4" w:themeShade="95"/>
        <w:left w:val="single" w:sz="4" w:space="0" w:color="266C57" w:themeColor="accent4" w:themeShade="95"/>
        <w:bottom w:val="single" w:sz="4" w:space="0" w:color="266C57" w:themeColor="accent4" w:themeShade="95"/>
        <w:right w:val="single" w:sz="4" w:space="0" w:color="266C57" w:themeColor="accent4" w:themeShade="95"/>
        <w:insideH w:val="single" w:sz="4" w:space="0" w:color="266C57" w:themeColor="accent4" w:themeShade="95"/>
        <w:insideV w:val="single" w:sz="4" w:space="0" w:color="266C57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8BD6C0" w:themeColor="accent4" w:themeTint="9A" w:fill="8BD6C0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8BD6C0" w:themeColor="accent4" w:themeTint="9A" w:fill="8BD6C0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8BD6C0" w:themeColor="accent4" w:themeTint="9A" w:fill="8BD6C0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8BD6C0" w:themeColor="accent4" w:themeTint="9A" w:fill="8BD6C0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F1E9" w:themeColor="accent4" w:themeTint="34" w:fill="D8F1E9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F1E9" w:themeColor="accent4" w:themeTint="34" w:fill="D8F1E9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44F30" w:themeColor="accent5" w:themeShade="95"/>
        <w:left w:val="single" w:sz="4" w:space="0" w:color="244F30" w:themeColor="accent5" w:themeShade="95"/>
        <w:bottom w:val="single" w:sz="4" w:space="0" w:color="244F30" w:themeColor="accent5" w:themeShade="95"/>
        <w:right w:val="single" w:sz="4" w:space="0" w:color="244F30" w:themeColor="accent5" w:themeShade="95"/>
        <w:insideH w:val="single" w:sz="4" w:space="0" w:color="244F30" w:themeColor="accent5" w:themeShade="95"/>
        <w:insideV w:val="single" w:sz="4" w:space="0" w:color="244F30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3E8853" w:themeColor="accent5" w:fill="3E8853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3E8853" w:themeColor="accent5" w:fill="3E8853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3E8853" w:themeColor="accent5" w:fill="3E8853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3E8853" w:themeColor="accent5" w:fill="3E8853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3EBD9" w:themeColor="accent5" w:themeTint="34" w:fill="D3EBD9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3EBD9" w:themeColor="accent5" w:themeTint="34" w:fill="D3EBD9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38605D" w:themeColor="accent6" w:themeShade="95"/>
        <w:left w:val="single" w:sz="4" w:space="0" w:color="38605D" w:themeColor="accent6" w:themeShade="95"/>
        <w:bottom w:val="single" w:sz="4" w:space="0" w:color="38605D" w:themeColor="accent6" w:themeShade="95"/>
        <w:right w:val="single" w:sz="4" w:space="0" w:color="38605D" w:themeColor="accent6" w:themeShade="95"/>
        <w:insideH w:val="single" w:sz="4" w:space="0" w:color="38605D" w:themeColor="accent6" w:themeShade="95"/>
        <w:insideV w:val="single" w:sz="4" w:space="0" w:color="38605D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2A39F" w:themeColor="accent6" w:fill="62A39F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2A39F" w:themeColor="accent6" w:fill="62A39F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2A39F" w:themeColor="accent6" w:fill="62A39F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2A39F" w:themeColor="accent6" w:fill="62A39F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EECEB" w:themeColor="accent6" w:themeTint="34" w:fill="DEECEB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EECEB" w:themeColor="accent6" w:themeTint="34" w:fill="DEECEB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3DDF4" w:themeColor="accent1" w:themeTint="67"/>
        <w:left w:val="single" w:sz="4" w:space="0" w:color="A3DDF4" w:themeColor="accent1" w:themeTint="67"/>
        <w:bottom w:val="single" w:sz="4" w:space="0" w:color="A3DDF4" w:themeColor="accent1" w:themeTint="67"/>
        <w:right w:val="single" w:sz="4" w:space="0" w:color="A3DDF4" w:themeColor="accent1" w:themeTint="67"/>
        <w:insideH w:val="single" w:sz="4" w:space="0" w:color="A3DDF4" w:themeColor="accent1" w:themeTint="67"/>
        <w:insideV w:val="single" w:sz="4" w:space="0" w:color="A3DDF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1CADE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1CADE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1CADE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3DDF4" w:themeColor="accent1" w:themeTint="67"/>
          <w:left w:val="single" w:sz="4" w:space="0" w:color="A3DDF4" w:themeColor="accent1" w:themeTint="67"/>
          <w:bottom w:val="single" w:sz="4" w:space="0" w:color="A3DDF4" w:themeColor="accent1" w:themeTint="67"/>
          <w:right w:val="single" w:sz="4" w:space="0" w:color="A3DDF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1CDED" w:themeColor="accent2" w:themeTint="67"/>
        <w:left w:val="single" w:sz="4" w:space="0" w:color="A1CDED" w:themeColor="accent2" w:themeTint="67"/>
        <w:bottom w:val="single" w:sz="4" w:space="0" w:color="A1CDED" w:themeColor="accent2" w:themeTint="67"/>
        <w:right w:val="single" w:sz="4" w:space="0" w:color="A1CDED" w:themeColor="accent2" w:themeTint="67"/>
        <w:insideH w:val="single" w:sz="4" w:space="0" w:color="A1CDED" w:themeColor="accent2" w:themeTint="67"/>
        <w:insideV w:val="single" w:sz="4" w:space="0" w:color="A1CDED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6B6E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6B6E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6B6E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1CDED" w:themeColor="accent2" w:themeTint="67"/>
          <w:left w:val="single" w:sz="4" w:space="0" w:color="A1CDED" w:themeColor="accent2" w:themeTint="67"/>
          <w:bottom w:val="single" w:sz="4" w:space="0" w:color="A1CDED" w:themeColor="accent2" w:themeTint="67"/>
          <w:right w:val="single" w:sz="4" w:space="0" w:color="A1CDED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7EBEF" w:themeColor="accent3" w:themeTint="67"/>
        <w:left w:val="single" w:sz="4" w:space="0" w:color="A7EBEF" w:themeColor="accent3" w:themeTint="67"/>
        <w:bottom w:val="single" w:sz="4" w:space="0" w:color="A7EBEF" w:themeColor="accent3" w:themeTint="67"/>
        <w:right w:val="single" w:sz="4" w:space="0" w:color="A7EBEF" w:themeColor="accent3" w:themeTint="67"/>
        <w:insideH w:val="single" w:sz="4" w:space="0" w:color="A7EBEF" w:themeColor="accent3" w:themeTint="67"/>
        <w:insideV w:val="single" w:sz="4" w:space="0" w:color="A7EBEF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DE1E7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DE1E7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DE1E7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7EBEF" w:themeColor="accent3" w:themeTint="67"/>
          <w:left w:val="single" w:sz="4" w:space="0" w:color="A7EBEF" w:themeColor="accent3" w:themeTint="67"/>
          <w:bottom w:val="single" w:sz="4" w:space="0" w:color="A7EBEF" w:themeColor="accent3" w:themeTint="67"/>
          <w:right w:val="single" w:sz="4" w:space="0" w:color="A7EBEF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E3D5" w:themeColor="accent4" w:themeTint="67"/>
        <w:left w:val="single" w:sz="4" w:space="0" w:color="B2E3D5" w:themeColor="accent4" w:themeTint="67"/>
        <w:bottom w:val="single" w:sz="4" w:space="0" w:color="B2E3D5" w:themeColor="accent4" w:themeTint="67"/>
        <w:right w:val="single" w:sz="4" w:space="0" w:color="B2E3D5" w:themeColor="accent4" w:themeTint="67"/>
        <w:insideH w:val="single" w:sz="4" w:space="0" w:color="B2E3D5" w:themeColor="accent4" w:themeTint="67"/>
        <w:insideV w:val="single" w:sz="4" w:space="0" w:color="B2E3D5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BD6C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BD6C0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BD6C0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E3D5" w:themeColor="accent4" w:themeTint="67"/>
          <w:left w:val="single" w:sz="4" w:space="0" w:color="B2E3D5" w:themeColor="accent4" w:themeTint="67"/>
          <w:bottom w:val="single" w:sz="4" w:space="0" w:color="B2E3D5" w:themeColor="accent4" w:themeTint="67"/>
          <w:right w:val="single" w:sz="4" w:space="0" w:color="B2E3D5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8D7B5" w:themeColor="accent5" w:themeTint="67"/>
        <w:left w:val="single" w:sz="4" w:space="0" w:color="A8D7B5" w:themeColor="accent5" w:themeTint="67"/>
        <w:bottom w:val="single" w:sz="4" w:space="0" w:color="A8D7B5" w:themeColor="accent5" w:themeTint="67"/>
        <w:right w:val="single" w:sz="4" w:space="0" w:color="A8D7B5" w:themeColor="accent5" w:themeTint="67"/>
        <w:insideH w:val="single" w:sz="4" w:space="0" w:color="A8D7B5" w:themeColor="accent5" w:themeTint="67"/>
        <w:insideV w:val="single" w:sz="4" w:space="0" w:color="A8D7B5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DC491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DC491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DC491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8D7B5" w:themeColor="accent5" w:themeTint="67"/>
          <w:left w:val="single" w:sz="4" w:space="0" w:color="A8D7B5" w:themeColor="accent5" w:themeTint="67"/>
          <w:bottom w:val="single" w:sz="4" w:space="0" w:color="A8D7B5" w:themeColor="accent5" w:themeTint="67"/>
          <w:right w:val="single" w:sz="4" w:space="0" w:color="A8D7B5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FD9D8" w:themeColor="accent6" w:themeTint="67"/>
        <w:left w:val="single" w:sz="4" w:space="0" w:color="BFD9D8" w:themeColor="accent6" w:themeTint="67"/>
        <w:bottom w:val="single" w:sz="4" w:space="0" w:color="BFD9D8" w:themeColor="accent6" w:themeTint="67"/>
        <w:right w:val="single" w:sz="4" w:space="0" w:color="BFD9D8" w:themeColor="accent6" w:themeTint="67"/>
        <w:insideH w:val="single" w:sz="4" w:space="0" w:color="BFD9D8" w:themeColor="accent6" w:themeTint="67"/>
        <w:insideV w:val="single" w:sz="4" w:space="0" w:color="BFD9D8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1C8C5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1C8C5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1C8C5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FD9D8" w:themeColor="accent6" w:themeTint="67"/>
          <w:left w:val="single" w:sz="4" w:space="0" w:color="BFD9D8" w:themeColor="accent6" w:themeTint="67"/>
          <w:bottom w:val="single" w:sz="4" w:space="0" w:color="BFD9D8" w:themeColor="accent6" w:themeTint="67"/>
          <w:right w:val="single" w:sz="4" w:space="0" w:color="BFD9D8" w:themeColor="accent6" w:themeTint="67"/>
        </w:tcBorders>
      </w:tcPr>
    </w:tblStylePr>
  </w:style>
  <w:style w:type="character" w:styleId="af1">
    <w:name w:val="Hyperlink"/>
    <w:uiPriority w:val="99"/>
    <w:unhideWhenUsed/>
    <w:rPr>
      <w:color w:val="6EAC1C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basedOn w:val="a0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</w:style>
  <w:style w:type="paragraph" w:styleId="af9">
    <w:name w:val="table of figures"/>
    <w:basedOn w:val="a"/>
    <w:next w:val="a"/>
    <w:uiPriority w:val="99"/>
    <w:unhideWhenUsed/>
    <w:pPr>
      <w:spacing w:after="0"/>
    </w:pPr>
  </w:style>
  <w:style w:type="paragraph" w:styleId="afa">
    <w:name w:val="Balloon Text"/>
    <w:basedOn w:val="a"/>
    <w:link w:val="afb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75"/>
      <c:rotY val="0"/>
      <c:rAngAx val="0"/>
    </c:view3D>
    <c:floor>
      <c:thickness val="0"/>
      <c:spPr>
        <a:prstGeom prst="rect">
          <a:avLst/>
        </a:prstGeom>
        <a:noFill/>
        <a:ln>
          <a:noFill/>
        </a:ln>
        <a:effectLst/>
      </c:spPr>
    </c:floor>
    <c:sideWall>
      <c:thickness val="0"/>
      <c:spPr>
        <a:prstGeom prst="rect">
          <a:avLst/>
        </a:prstGeom>
        <a:noFill/>
        <a:ln>
          <a:noFill/>
        </a:ln>
        <a:effectLst/>
      </c:spPr>
    </c:sideWall>
    <c:backWall>
      <c:thickness val="0"/>
      <c:spPr>
        <a:prstGeom prst="rect">
          <a:avLst/>
        </a:prstGeom>
        <a:noFill/>
        <a:ln>
          <a:noFill/>
        </a:ln>
        <a:effectLst/>
      </c:spPr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prstGeom prst="rect">
                <a:avLst/>
              </a:prstGeom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D96-4210-A8EE-36929B284C09}"/>
              </c:ext>
            </c:extLst>
          </c:dPt>
          <c:dPt>
            <c:idx val="1"/>
            <c:bubble3D val="0"/>
            <c:spPr>
              <a:prstGeom prst="rect">
                <a:avLst/>
              </a:prstGeom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D96-4210-A8EE-36929B284C09}"/>
              </c:ext>
            </c:extLst>
          </c:dPt>
          <c:dPt>
            <c:idx val="2"/>
            <c:bubble3D val="0"/>
            <c:spPr>
              <a:prstGeom prst="rect">
                <a:avLst/>
              </a:prstGeom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D96-4210-A8EE-36929B284C09}"/>
              </c:ext>
            </c:extLst>
          </c:dPt>
          <c:dPt>
            <c:idx val="3"/>
            <c:bubble3D val="0"/>
            <c:spPr>
              <a:prstGeom prst="rect">
                <a:avLst/>
              </a:prstGeom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D96-4210-A8EE-36929B284C09}"/>
              </c:ext>
            </c:extLst>
          </c:dPt>
          <c:dLbls>
            <c:dLbl>
              <c:idx val="0"/>
              <c:layout>
                <c:manualLayout>
                  <c:x val="-7.8130000000000005E-3"/>
                  <c:y val="-0.44514199999999998"/>
                </c:manualLayout>
              </c:layout>
              <c:tx>
                <c:rich>
                  <a:bodyPr/>
                  <a:lstStyle/>
                  <a:p>
                    <a:r>
                      <a:rPr lang="en-US"/>
                      <a:t>783</a:t>
                    </a:r>
                  </a:p>
                  <a:p>
                    <a:endParaRPr lang="en-US"/>
                  </a:p>
                </c:rich>
              </c:tx>
              <c:dLblPos val="bestFit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D96-4210-A8EE-36929B284C09}"/>
                </c:ext>
              </c:extLst>
            </c:dLbl>
            <c:spPr>
              <a:noFill/>
              <a:ln>
                <a:noFill/>
              </a:ln>
              <a:effectLst/>
            </c:spPr>
            <c:dLblPos val="bestFit"/>
            <c:showLegendKey val="0"/>
            <c:showVal val="1"/>
            <c:showCatName val="0"/>
            <c:showSerName val="0"/>
            <c:showPercent val="0"/>
            <c:showBubbleSize val="0"/>
            <c:showLeaderLines val="1"/>
            <c:leaderLines>
              <c:spPr>
                <a:prstGeom prst="rect">
                  <a:avLst/>
                </a:prstGeom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</c15:spPr>
              </c:ext>
            </c:extLst>
          </c:dLbls>
          <c:cat>
            <c:strRef>
              <c:f>Лист1!$A$2</c:f>
              <c:strCache>
                <c:ptCount val="1"/>
                <c:pt idx="0">
                  <c:v>письменные обращения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847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D96-4210-A8EE-36929B284C0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prstGeom prst="rect">
          <a:avLst/>
        </a:prstGeom>
        <a:noFill/>
        <a:ln>
          <a:noFill/>
        </a:ln>
        <a:effectLst/>
      </c:spPr>
    </c:plotArea>
    <c:legend>
      <c:legendPos val="b"/>
      <c:overlay val="0"/>
      <c:spPr>
        <a:prstGeom prst="rect">
          <a:avLst/>
        </a:prstGeom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6"/>
    </mc:Choice>
    <mc:Fallback>
      <c:style val="6"/>
    </mc:Fallback>
  </mc:AlternateContent>
  <c:chart>
    <c:autoTitleDeleted val="1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prstGeom prst="rect">
              <a:avLst/>
            </a:prstGeom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numRef>
              <c:f>Лист1!$A$2:$A$3</c:f>
              <c:numCache>
                <c:formatCode>General</c:formatCode>
                <c:ptCount val="2"/>
                <c:pt idx="0">
                  <c:v>2024</c:v>
                </c:pt>
                <c:pt idx="1">
                  <c:v>2023</c:v>
                </c:pt>
              </c:numCache>
            </c:num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783</c:v>
                </c:pt>
                <c:pt idx="1">
                  <c:v>1036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D267-4422-85C1-D8BBAE41385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75807488"/>
        <c:axId val="175817472"/>
      </c:barChart>
      <c:catAx>
        <c:axId val="1758074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817472"/>
        <c:crosses val="autoZero"/>
        <c:auto val="1"/>
        <c:lblAlgn val="ctr"/>
        <c:lblOffset val="100"/>
        <c:noMultiLvlLbl val="0"/>
      </c:catAx>
      <c:valAx>
        <c:axId val="175817472"/>
        <c:scaling>
          <c:orientation val="minMax"/>
        </c:scaling>
        <c:delete val="0"/>
        <c:axPos val="l"/>
        <c:majorGridlines>
          <c:spPr>
            <a:prstGeom prst="rect">
              <a:avLst/>
            </a:prstGeom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prstGeom prst="rect">
            <a:avLst/>
          </a:prstGeom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75807488"/>
        <c:crosses val="autoZero"/>
        <c:crossBetween val="between"/>
      </c:valAx>
      <c:spPr>
        <a:prstGeom prst="rect">
          <a:avLst/>
        </a:prstGeom>
        <a:noFill/>
        <a:ln>
          <a:noFill/>
        </a:ln>
        <a:effectLst/>
      </c:spPr>
    </c:plotArea>
    <c:plotVisOnly val="1"/>
    <c:dispBlanksAs val="gap"/>
    <c:showDLblsOverMax val="0"/>
  </c:chart>
  <c:spPr>
    <a:prstGeom prst="rect">
      <a:avLst/>
    </a:prstGeom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6"/>
          <c:dPt>
            <c:idx val="0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1"/>
                  </a:gs>
                  <a:gs pos="100000">
                    <a:schemeClr val="accent1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82D7-426C-A4CC-EDB5E91CC8D9}"/>
              </c:ext>
            </c:extLst>
          </c:dPt>
          <c:dPt>
            <c:idx val="1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2"/>
                  </a:gs>
                  <a:gs pos="100000">
                    <a:schemeClr val="accent2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82D7-426C-A4CC-EDB5E91CC8D9}"/>
              </c:ext>
            </c:extLst>
          </c:dPt>
          <c:dPt>
            <c:idx val="2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3"/>
                  </a:gs>
                  <a:gs pos="100000">
                    <a:schemeClr val="accent3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82D7-426C-A4CC-EDB5E91CC8D9}"/>
              </c:ext>
            </c:extLst>
          </c:dPt>
          <c:dPt>
            <c:idx val="3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4"/>
                  </a:gs>
                  <a:gs pos="100000">
                    <a:schemeClr val="accent4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82D7-426C-A4CC-EDB5E91CC8D9}"/>
              </c:ext>
            </c:extLst>
          </c:dPt>
          <c:dPt>
            <c:idx val="4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5"/>
                  </a:gs>
                  <a:gs pos="100000">
                    <a:schemeClr val="accent5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9-82D7-426C-A4CC-EDB5E91CC8D9}"/>
              </c:ext>
            </c:extLst>
          </c:dPt>
          <c:dPt>
            <c:idx val="5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6"/>
                  </a:gs>
                  <a:gs pos="100000">
                    <a:schemeClr val="accent6"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B-82D7-426C-A4CC-EDB5E91CC8D9}"/>
              </c:ext>
            </c:extLst>
          </c:dPt>
          <c:dPt>
            <c:idx val="6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1">
                      <a:lumMod val="60000"/>
                    </a:schemeClr>
                  </a:gs>
                  <a:gs pos="100000">
                    <a:schemeClr val="accent1">
                      <a:lumMod val="6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D-82D7-426C-A4CC-EDB5E91CC8D9}"/>
              </c:ext>
            </c:extLst>
          </c:dPt>
          <c:dPt>
            <c:idx val="7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2">
                      <a:lumMod val="60000"/>
                    </a:schemeClr>
                  </a:gs>
                  <a:gs pos="100000">
                    <a:schemeClr val="accent2">
                      <a:lumMod val="6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F-82D7-426C-A4CC-EDB5E91CC8D9}"/>
              </c:ext>
            </c:extLst>
          </c:dPt>
          <c:dPt>
            <c:idx val="8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3">
                      <a:lumMod val="60000"/>
                    </a:schemeClr>
                  </a:gs>
                  <a:gs pos="100000">
                    <a:schemeClr val="accent3">
                      <a:lumMod val="6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1-82D7-426C-A4CC-EDB5E91CC8D9}"/>
              </c:ext>
            </c:extLst>
          </c:dPt>
          <c:dPt>
            <c:idx val="9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4">
                      <a:lumMod val="60000"/>
                    </a:schemeClr>
                  </a:gs>
                  <a:gs pos="100000">
                    <a:schemeClr val="accent4">
                      <a:lumMod val="6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3-82D7-426C-A4CC-EDB5E91CC8D9}"/>
              </c:ext>
            </c:extLst>
          </c:dPt>
          <c:dPt>
            <c:idx val="10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5">
                      <a:lumMod val="60000"/>
                    </a:schemeClr>
                  </a:gs>
                  <a:gs pos="100000">
                    <a:schemeClr val="accent5">
                      <a:lumMod val="6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5-82D7-426C-A4CC-EDB5E91CC8D9}"/>
              </c:ext>
            </c:extLst>
          </c:dPt>
          <c:dPt>
            <c:idx val="11"/>
            <c:bubble3D val="0"/>
            <c:spPr bwMode="auto">
              <a:prstGeom prst="rect">
                <a:avLst/>
              </a:prstGeom>
              <a:gradFill>
                <a:gsLst>
                  <a:gs pos="0">
                    <a:schemeClr val="accent6">
                      <a:lumMod val="60000"/>
                    </a:schemeClr>
                  </a:gs>
                  <a:gs pos="100000">
                    <a:schemeClr val="accent6">
                      <a:lumMod val="60000"/>
                      <a:lumMod val="60000"/>
                      <a:lumOff val="40000"/>
                    </a:schemeClr>
                  </a:gs>
                </a:gsLst>
                <a:lin ang="5400000" scaled="0"/>
              </a:gra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17-82D7-426C-A4CC-EDB5E91CC8D9}"/>
              </c:ext>
            </c:extLst>
          </c:dPt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099" tIns="19049" rIns="38099" bIns="19049" anchor="ctr" anchorCtr="1">
                <a:spAutoFit/>
              </a:bodyPr>
              <a:lstStyle/>
              <a:p>
                <a:pPr>
                  <a:defRPr sz="900" b="0" i="0" u="none" strike="noStrike" baseline="0">
                    <a:solidFill>
                      <a:schemeClr val="dk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inEnd"/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leaderLines>
              <c:spPr bwMode="auto">
                <a:prstGeom prst="rect">
                  <a:avLst/>
                </a:prstGeom>
                <a:ln w="9525" cap="flat" cmpd="sng" algn="ctr">
                  <a:solidFill>
                    <a:schemeClr val="dk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>
                <c15:spPr xmlns:c15="http://schemas.microsoft.com/office/drawing/2012/chart">
                  <a:prstGeom prst="rect">
                    <a:avLst/>
                  </a:prstGeom>
                  <a:noFill/>
                  <a:ln>
                    <a:noFill/>
                  </a:ln>
                </c15:spPr>
              </c:ext>
            </c:extLst>
          </c:dLbls>
          <c:cat>
            <c:strRef>
              <c:f>Лист1!$A$2:$A$13</c:f>
              <c:strCache>
                <c:ptCount val="12"/>
                <c:pt idx="0">
                  <c:v>ТБО</c:v>
                </c:pt>
                <c:pt idx="1">
                  <c:v>Деятельность УК и ГЖИ НСО</c:v>
                </c:pt>
                <c:pt idx="2">
                  <c:v>Капитальный ремонт МКД</c:v>
                </c:pt>
                <c:pt idx="3">
                  <c:v>Газификация</c:v>
                </c:pt>
                <c:pt idx="4">
                  <c:v>Переселение из аварийного и ветхого жилья</c:v>
                </c:pt>
                <c:pt idx="5">
                  <c:v>Водоснабжение</c:v>
                </c:pt>
                <c:pt idx="6">
                  <c:v>Оплата за коммунальные услуги, отопление, взносы на капремонт</c:v>
                </c:pt>
                <c:pt idx="7">
                  <c:v>Благоустройство</c:v>
                </c:pt>
                <c:pt idx="8">
                  <c:v>Теплоснабжение</c:v>
                </c:pt>
                <c:pt idx="9">
                  <c:v>Электроснабжение</c:v>
                </c:pt>
                <c:pt idx="10">
                  <c:v>Канализация</c:v>
                </c:pt>
                <c:pt idx="11">
                  <c:v>ЧС</c:v>
                </c:pt>
              </c:strCache>
            </c:strRef>
          </c:cat>
          <c:val>
            <c:numRef>
              <c:f>Лист1!$B$2:$B$13</c:f>
              <c:numCache>
                <c:formatCode>General</c:formatCode>
                <c:ptCount val="12"/>
                <c:pt idx="0">
                  <c:v>236</c:v>
                </c:pt>
                <c:pt idx="1">
                  <c:v>66</c:v>
                </c:pt>
                <c:pt idx="2">
                  <c:v>149</c:v>
                </c:pt>
                <c:pt idx="3">
                  <c:v>70</c:v>
                </c:pt>
                <c:pt idx="4">
                  <c:v>53</c:v>
                </c:pt>
                <c:pt idx="5">
                  <c:v>280</c:v>
                </c:pt>
                <c:pt idx="6">
                  <c:v>14</c:v>
                </c:pt>
                <c:pt idx="7">
                  <c:v>32</c:v>
                </c:pt>
                <c:pt idx="8">
                  <c:v>17</c:v>
                </c:pt>
                <c:pt idx="9">
                  <c:v>34</c:v>
                </c:pt>
                <c:pt idx="10">
                  <c:v>20</c:v>
                </c:pt>
                <c:pt idx="11">
                  <c:v>28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8-82D7-426C-A4CC-EDB5E91CC8D9}"/>
            </c:ext>
          </c:extLst>
        </c:ser>
        <c:dLbls>
          <c:dLblPos val="inEnd"/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prstGeom prst="rect">
          <a:avLst/>
        </a:prstGeom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5444000000000002"/>
          <c:y val="2.3060000000000001E-2"/>
          <c:w val="0.32956000000000002"/>
          <c:h val="0.95753999999999995"/>
        </c:manualLayout>
      </c:layout>
      <c:overlay val="0"/>
      <c:spPr bwMode="auto">
        <a:prstGeom prst="rect">
          <a:avLst/>
        </a:prstGeom>
        <a:solidFill>
          <a:schemeClr val="lt1">
            <a:alpha val="50000"/>
          </a:schemeClr>
        </a:solidFill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baseline="0">
              <a:solidFill>
                <a:schemeClr val="dk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 bwMode="auto">
    <a:xfrm>
      <a:off x="0" y="0"/>
      <a:ext cx="5557960" cy="3275937"/>
    </a:xfrm>
    <a:prstGeom prst="rect">
      <a:avLst/>
    </a:prstGeom>
    <a:pattFill prst="dkDnDiag">
      <a:fgClr>
        <a:schemeClr val="lt1"/>
      </a:fgClr>
      <a:bgClr>
        <a:schemeClr val="dk1">
          <a:lumMod val="10000"/>
          <a:lumOff val="90000"/>
        </a:schemeClr>
      </a:bgClr>
    </a:pattFill>
    <a:ln w="9525" cap="flat" cmpd="sng" algn="ctr">
      <a:solidFill>
        <a:schemeClr val="dk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6">
  <cs:axisTitle>
    <cs:lnRef idx="0"/>
    <cs:fillRef idx="0"/>
    <cs:effectRef idx="0"/>
    <cs:fontRef idx="minor">
      <a:schemeClr val="dk1">
        <a:lumMod val="65000"/>
        <a:lumOff val="35000"/>
      </a:schemeClr>
    </cs:fontRef>
    <cs:defRPr sz="900" b="1"/>
  </cs:axisTitle>
  <cs:categoryAxis>
    <cs:lnRef idx="0"/>
    <cs:fillRef idx="0"/>
    <cs:effectRef idx="0"/>
    <cs:fontRef idx="minor">
      <a:schemeClr val="dk1">
        <a:lumMod val="65000"/>
        <a:lumOff val="35000"/>
      </a:schemeClr>
    </cs:fontRef>
    <cs:defRPr sz="900" cap="none" spc="0"/>
  </cs:categoryAxis>
  <cs:chartArea>
    <cs:lnRef idx="0"/>
    <cs:fillRef idx="0"/>
    <cs:effectRef idx="0"/>
    <cs:fontRef idx="minor">
      <a:schemeClr val="dk1"/>
    </cs:fontRef>
    <cs:spPr bwMode="auto">
      <a:prstGeom prst="rect">
        <a:avLst/>
      </a:prstGeom>
      <a:pattFill prst="dkDnDiag">
        <a:fgClr>
          <a:schemeClr val="lt1"/>
        </a:fgClr>
        <a:bgClr>
          <a:schemeClr val="dk1">
            <a:lumMod val="10000"/>
            <a:lumOff val="90000"/>
          </a:schemeClr>
        </a:bgClr>
      </a:pattFill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900"/>
  </cs:chartArea>
  <cs:dataLabel>
    <cs:lnRef idx="0"/>
    <cs:fillRef idx="0"/>
    <cs:effectRef idx="0"/>
    <cs:fontRef idx="minor">
      <a:schemeClr val="dk1">
        <a:lumMod val="75000"/>
        <a:lumOff val="25000"/>
      </a:schemeClr>
    </cs:fontRef>
    <cs:defRPr sz="9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defRPr sz="900"/>
  </cs:dataLabelCallout>
  <cs:dataPoint>
    <cs:lnRef idx="0"/>
    <cs:fillRef idx="0">
      <cs:styleClr val="auto"/>
    </cs:fillRef>
    <cs:effectRef idx="0"/>
    <cs:fontRef idx="minor">
      <a:schemeClr val="tx1"/>
    </cs:fontRef>
    <cs:spPr bwMode="auto">
      <a:prstGeom prst="rect">
        <a:avLst/>
      </a:prstGeom>
      <a:gradFill>
        <a:gsLst>
          <a:gs pos="0">
            <a:schemeClr val="phClr"/>
          </a:gs>
          <a:gs pos="100000">
            <a:schemeClr val="phClr">
              <a:lumMod val="60000"/>
              <a:lumOff val="40000"/>
            </a:schemeClr>
          </a:gs>
        </a:gsLst>
        <a:lin ang="5400000" scaled="0"/>
      </a:gradFill>
      <a:ln w="19050">
        <a:solidFill>
          <a:schemeClr val="lt1"/>
        </a:solidFill>
      </a:ln>
    </cs:spPr>
  </cs:dataPoint>
  <cs:dataPoint3D>
    <cs:lnRef idx="0"/>
    <cs:fillRef idx="0">
      <cs:styleClr val="auto"/>
    </cs:fillRef>
    <cs:effectRef idx="0"/>
    <cs:fontRef idx="minor">
      <a:schemeClr val="tx1"/>
    </cs:fontRef>
    <cs:spPr bwMode="auto">
      <a:prstGeom prst="rect">
        <a:avLst/>
      </a:prstGeom>
      <a:gradFill>
        <a:gsLst>
          <a:gs pos="0">
            <a:schemeClr val="phClr"/>
          </a:gs>
          <a:gs pos="100000">
            <a:schemeClr val="phClr">
              <a:lumMod val="60000"/>
              <a:lumOff val="40000"/>
            </a:schemeClr>
          </a:gs>
        </a:gsLst>
        <a:lin ang="5400000" scaled="0"/>
      </a:gradFill>
      <a:ln w="508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2222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0">
      <cs:styleClr val="auto"/>
    </cs:fillRef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15875">
        <a:solidFill>
          <a:schemeClr val="phClr"/>
        </a:solidFill>
        <a:round/>
      </a:ln>
    </cs:spPr>
  </cs:dataPointMarker>
  <cs:dataPointMarkerLayout/>
  <cs:dataPointWirefram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dk1">
        <a:lumMod val="65000"/>
        <a:lumOff val="35000"/>
      </a:schemeClr>
    </cs:fontRef>
    <cs:spPr bwMode="auto">
      <a:prstGeom prst="rect">
        <a:avLst/>
      </a:prstGeom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  <cs:defRPr sz="800"/>
  </cs:dataTable>
  <cs:down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dk1">
          <a:lumMod val="75000"/>
          <a:lumOff val="25000"/>
        </a:schemeClr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downBar>
  <cs:drop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dk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dk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hiLoLine>
  <cs:leader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dk1">
        <a:lumMod val="65000"/>
        <a:lumOff val="35000"/>
      </a:schemeClr>
    </cs:fontRef>
    <cs:spPr bwMode="auto">
      <a:prstGeom prst="rect">
        <a:avLst/>
      </a:prstGeom>
      <a:solidFill>
        <a:schemeClr val="lt1">
          <a:alpha val="50000"/>
        </a:schemeClr>
      </a:solidFill>
    </cs:spPr>
    <cs:defRPr sz="900"/>
  </cs:legend>
  <cs:plotArea>
    <cs:lnRef idx="0"/>
    <cs:fillRef idx="0"/>
    <cs:effectRef idx="0"/>
    <cs:fontRef idx="minor">
      <a:schemeClr val="dk1"/>
    </cs:fontRef>
  </cs:plotArea>
  <cs:plotArea3D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dk1">
        <a:lumMod val="65000"/>
        <a:lumOff val="35000"/>
      </a:schemeClr>
    </cs:fontRef>
    <cs:defRPr sz="900"/>
  </cs:seriesAxis>
  <cs:seriesLine>
    <cs:lnRef idx="0"/>
    <cs:fillRef idx="0"/>
    <cs:effectRef idx="0"/>
    <cs:fontRef idx="minor">
      <a:schemeClr val="dk1"/>
    </cs:fontRef>
    <cs:spPr bwMode="auto">
      <a:prstGeom prst="rect">
        <a:avLst/>
      </a:prstGeom>
      <a:ln w="9525" cap="flat" cmpd="sng" algn="ctr">
        <a:solidFill>
          <a:schemeClr val="dk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dk1">
        <a:lumMod val="50000"/>
        <a:lumOff val="50000"/>
      </a:schemeClr>
    </cs:fontRef>
    <cs:defRPr sz="1600" b="1" spc="0"/>
  </cs:title>
  <cs:trendline>
    <cs:lnRef idx="0">
      <cs:styleClr val="auto"/>
    </cs:lnRef>
    <cs:fillRef idx="0"/>
    <cs:effectRef idx="0"/>
    <cs:fontRef idx="minor">
      <a:schemeClr val="dk1"/>
    </cs:fontRef>
    <cs:spPr bwMode="auto">
      <a:prstGeom prst="rect">
        <a:avLst/>
      </a:prstGeom>
      <a:ln w="19050" cap="rnd">
        <a:solidFill>
          <a:schemeClr val="phClr"/>
        </a:solidFill>
      </a:ln>
    </cs:spPr>
  </cs:trendline>
  <cs:trendlineLabel>
    <cs:lnRef idx="0"/>
    <cs:fillRef idx="0"/>
    <cs:effectRef idx="0"/>
    <cs:fontRef idx="minor">
      <a:schemeClr val="dk1">
        <a:lumMod val="65000"/>
        <a:lumOff val="35000"/>
      </a:schemeClr>
    </cs:fontRef>
    <cs:defRPr sz="900"/>
  </cs:trendlineLabel>
  <cs:upBar>
    <cs:lnRef idx="0"/>
    <cs:fillRef idx="0"/>
    <cs:effectRef idx="0"/>
    <cs:fontRef idx="minor">
      <a:schemeClr val="dk1"/>
    </cs:fontRef>
    <cs:spPr bwMode="auto">
      <a:prstGeom prst="rect">
        <a:avLst/>
      </a:prstGeom>
      <a:solidFill>
        <a:schemeClr val="lt1"/>
      </a:solidFill>
      <a:ln w="9525" cap="flat" cmpd="sng" algn="ctr">
        <a:solidFill>
          <a:schemeClr val="dk1">
            <a:lumMod val="50000"/>
            <a:lumOff val="50000"/>
          </a:schemeClr>
        </a:solidFill>
        <a:round/>
      </a:ln>
    </cs:spPr>
  </cs:upBar>
  <cs:valueAxis>
    <cs:lnRef idx="0"/>
    <cs:fillRef idx="0"/>
    <cs:effectRef idx="0"/>
    <cs:fontRef idx="minor">
      <a:schemeClr val="dk1">
        <a:lumMod val="65000"/>
        <a:lumOff val="35000"/>
      </a:schemeClr>
    </cs:fontRef>
    <cs:defRPr sz="9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Тема Office">
  <a:themeElements>
    <a:clrScheme name="Синий II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EAC1C"/>
      </a:hlink>
      <a:folHlink>
        <a:srgbClr val="B26B0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D17564-2816-4279-88D4-663B91D5BF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8</Pages>
  <Words>2186</Words>
  <Characters>12464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14621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Михалицына Полина Евгеньевна</dc:creator>
  <cp:lastModifiedBy>Григорьева Наталья Викторовна</cp:lastModifiedBy>
  <cp:revision>14</cp:revision>
  <dcterms:created xsi:type="dcterms:W3CDTF">2024-07-30T10:27:00Z</dcterms:created>
  <dcterms:modified xsi:type="dcterms:W3CDTF">2024-07-30T12:01:00Z</dcterms:modified>
</cp:coreProperties>
</file>