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.07.2024 №</w:t>
      </w:r>
      <w:r>
        <w:rPr>
          <w:rFonts w:ascii="Times New Roman" w:hAnsi="Times New Roman" w:cs="Times New Roman"/>
          <w:sz w:val="28"/>
          <w:szCs w:val="28"/>
        </w:rPr>
        <w:t xml:space="preserve">170</w:t>
      </w:r>
      <w:r>
        <w:rPr>
          <w:rFonts w:ascii="Times New Roman" w:hAnsi="Times New Roman" w:cs="Times New Roman"/>
          <w:sz w:val="28"/>
          <w:szCs w:val="28"/>
        </w:rPr>
        <w:t xml:space="preserve">-НПА</w:t>
      </w:r>
      <w:r/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3.6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-202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-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Оказание услуг и (или) выполн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ремонт, замену, модернизацию лифтов, ремонт лифтовых шахт, машинных и блочных помещений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Новосибирск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, 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министерство жилищно-коммунального хозяйства и энергетики Новосибирской области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20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98"/>
        <w:gridCol w:w="4117"/>
        <w:gridCol w:w="5096"/>
      </w:tblGrid>
      <w:tr>
        <w:tblPrEx/>
        <w:trPr>
          <w:trHeight w:val="852"/>
        </w:trPr>
        <w:tc>
          <w:tcPr>
            <w:shd w:val="clear" w:color="auto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52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Новосибирск, 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 (38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238-76-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51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Выполнение работ по оценке технического состояния и проектированию капитального ремонта общего имущества многоквартирных домов, являющихся объектами культурного наследия, выявленными объектами культурного наследия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в том числе 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ремонт, замену, модернизацию лифтов, ремонт лифтовых шахт, машинных и блочных помещений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6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5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5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июля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августа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7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сентября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307"/>
        <w:gridCol w:w="6616"/>
      </w:tblGrid>
      <w:tr>
        <w:tblPrEx/>
        <w:trPr>
          <w:trHeight w:val="643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616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616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выполнению работ (услуг)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Работы осуществляются на основании предоставленной заказчиком электронного аукциона (далее – Заказчик)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Технический паспорт БТИ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Протокол общего собрания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(или решения органа местного самоуправления)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Техническое задание органа, ответственного за сохранность объекта культурного наследия (при необходимости).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Работы осуществляются на основании предоставленной органом местного самоуправления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Информация об управляющей организации.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Работы осуществляются на основании иной полученной подрядной организацией исходно-разрешительной документации, необходимой для выполнения работ по проектированию: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-требование органов местного самоуправления о цвете и материале (при необходимости) кровельного покрытия;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-сведения о разграничении зон общего имущества многоквартирного дома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– МКД)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-справка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ресурсоснабжающей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организации о давлении в системах водоснабжения, температуре теплоносителя и давлении в системе теплоснабжения;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-другая недостающая исходно-разрешительная документация, необходимая для выполнения проектных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Проектно-сметная документация разрабатывается в объёме, необходимом для проведения капитального ремонта общего имущества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соответствии со следующими нормами действующего законодательства Российской Федерации: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Градостроительный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Земельный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Жилищный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</w:t>
            </w:r>
            <w:hyperlink r:id="rId12" w:tooltip="http://docs.cntd.ru/document/902192610" w:history="1">
              <w:r>
                <w:rPr>
                  <w:rFonts w:ascii="Times New Roman" w:hAnsi="Times New Roman" w:eastAsia="Calibri" w:cs="Times New Roman"/>
                  <w:sz w:val="24"/>
                  <w:szCs w:val="24"/>
                </w:rPr>
                <w:t xml:space="preserve">Федеральный закон от 30.12.2009г. № 384-Ф3 «Технический регламент о безопасности зданий и сооружений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- </w:t>
            </w:r>
            <w:hyperlink r:id="rId13" w:tooltip="http://docs.cntd.ru/document/902186281" w:history="1">
              <w:r>
                <w:rPr>
                  <w:rFonts w:ascii="Times New Roman" w:hAnsi="Times New Roman" w:eastAsia="Calibri" w:cs="Times New Roman"/>
                  <w:sz w:val="24"/>
                  <w:szCs w:val="24"/>
                </w:rPr>
                <w:t xml:space="preserve">Федеральный закон от 23.11.2009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Федеральный закон РФ от 27.12.2002г. №184-ФЗ «О техническом регулировании»;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Федеральный закон РФ от 22.07.2008 №123-ФЗ «Технический регламент о требованиях пожарной безопасности»;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Федеральный закон РФ от 25.06.2002г. №73-ФЗ «Об объектах культурного наследия (памятниках истории и культуры) народов РФ» (в том числе в части требований к качеству работ и безопасности их проведения);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Постановление Правительства РФ № 87 от 06.02.2008 г. «О составе разделов проектной документации и требованиях к их содержанию»;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 31937-2011 «Здания и сооружения. Правила обследования и мониторинга технического состояния».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 21.1101-2013 «Основные требования к проектной и рабочей документации»;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 Р 55528-2013 «Состав и содержание научно-проектной документации по сохранению объектов культурного наследия. Памятники истории и культуры. Общие требования»;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15.13330.2012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-22-81 «Каменные и армокаменные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16.13330.2011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-23-81 «Стальные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17.13330.2001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-26-76 «Кровли».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20.13330.2011 «СНиП 2.01.07-85 «Нагрузки и воздействия»;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22.13330.2011 «СНиП 2.02.01-83 «Основания зданий и сооружений»;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24.13330.2011 «СНиП 2.02.03-85 «Свайные фундаменты»;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28.13330.2012 «Защита строительных конструкций от коррозии»;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СП13330.2012 «СНиП 2.04.0185 «Внутренний водопровод и канализация зданий»;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32.13330.2012 «СНиП 2.04.03-85 «Канализация. Наружные сети и сооружения»;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50.13330.2012 «СНиП 23-02-2003 «Тепловая защита зданий»;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54.13330.2011 СНиП 31-01-2003 «Здания жилые многоквартирные»;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60.13330.2012 «СНиП 41-01-2003 «Отопление, вентиляция и кондиционирование воздуха»;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63.13330.2012 «СНиП 52-01-2003 «Бетонные и железобетонные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64.13330.2011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-25-80 «Деревянные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70.13330.2012 «СНиП 3.03.01-87 «Несущие и ограждающие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131.13330.2012 «СНиП23-01-99 «Строительная климатология».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СРП-2007, часть 1 «Свод реставрационных правил о составе, порядке разработки, согласования и утверждения научно-проектной документации на выполнение производственных работ по сохранению объектов культурного объекта»;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ГОСТ, СНИП, СП и другая нормативно-техническая документация, действующая на территории РФ.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Принятые в проектно-сметной документации решения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составу и содержанию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Разделы и подразделы проектно-сметной документации выполняются в соответствии с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постановлением Правительства Российской Федерации от 16.02.2008г. № 87 «О составе разделов проектной документации и требованиях к их содержанию» в объеме, необходимом для выполнения работ по капитальному ремонту общего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имущества МКД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согласованию с ведомствами и организациями, экспертиза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 должны быть получены все необходимые согласования и заключения экспертизы проектно-сметной документации.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Требование к календарному плану работ (услуг)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Работы должны проводит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ся в соответствии с прилагаемым к договору календарным планом. Выполнение работ по календарному плану должно быть поэтапное, и предусматривать ежемесячную сдачу проектно-сметной документации равными частями.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об оказании услуг и (или) выполнении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46"/>
        <w:tblW w:w="10065" w:type="dxa"/>
        <w:tblInd w:w="-34" w:type="dxa"/>
        <w:tblLook w:val="04A0" w:firstRow="1" w:lastRow="0" w:firstColumn="1" w:lastColumn="0" w:noHBand="0" w:noVBand="1"/>
      </w:tblPr>
      <w:tblGrid>
        <w:gridCol w:w="680"/>
        <w:gridCol w:w="2410"/>
        <w:gridCol w:w="6975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об оказании услуг и (или) выполнения работ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Предметом договора является выполнение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работ по оценке технического состояния и проектированию капитального ремонта общего имущества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являющихся объектами культурного наследия, выявленными объектами культурного наследия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в том числе 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ремонт, замену, модернизацию лифтов, ремонт лифтовых шахт, машинных и блочных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Выполнение работ по оценке технического состояния и проектированию капитального ремонта общего имущества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являющихся объектами культурного наследия,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том числе по замене лифтов, включает в себя следующий состав работ (услуг):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 Выполнить предварительное обследование объекта с составлением акта обследования;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Разработать проектную документацию с предоставлением архитектурных решений и основных чертежей: планы, сечения, разрезы со схематическим изображением основных несущих и ограждающих конструкций, способов крепления, узлов, сертификации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объем разрабатываемого проекта должны включаться: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Обмерочные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чертежи.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2. Отчёт о техническ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 обследовании, включающий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х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арактеристика объекта;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ыявленные дефекты, скрытые дефекты;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отографии объекта, дефектов конструкций и последствий;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ыв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оды по результатам обследования.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 Пояснительная записка, включающая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писание и обоснование принятых технических решений;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роизводство работ по проведению капитального ремонта существующих систем отопления и горячего водоснабжения;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ребования к качеству и приёмке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нтикоррозийные мероприятия;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ероприятия по противопожарной безопасности при производстве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ехника безопасности строительных работ и охрана труда;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ероприятия по охране окружающей природной среды;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t xml:space="preserve"> 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бщие организационные работы.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 Отопление, вентиляция и кондиционирование: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ланы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х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арактерные разрезы и сечения;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ость оборудования 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 Сметная документация на капитальный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ремонт отдельных элементов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(услуги) будут выполняться (оказываться)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14" w:tooltip="http://www.mjkh.nso.ru/page/724" w:history="1">
              <w:r>
                <w:rPr>
                  <w:rStyle w:val="921"/>
                  <w:rFonts w:ascii="Times New Roman" w:hAnsi="Times New Roman" w:eastAsia="Calibri" w:cs="Times New Roman"/>
                  <w:sz w:val="24"/>
                  <w:szCs w:val="24"/>
                </w:rPr>
                <w:t xml:space="preserve">http://www.mjkh.nso.ru/page/724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contextualSpacing/>
              <w:spacing w:after="160" w:line="259" w:lineRule="auto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spacing w:after="160" w:line="259" w:lineRule="auto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снижена по соглашению сторон при уменьшении предусмотренных договором объемов услуг и (или)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Изменение стоимости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объемов услуг и (или) работ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производится при соблюдении заказчиком положений, установленных частью 5 статьи 189 Жилищного кодекса Российской Федерации. Иные положения договора изменению не подлежат.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Исполнение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15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частью 1 статьи 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договора указыва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Размер обеспечения исполнения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может превышать 30 (тридцать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исполнения договора может быть установлено в размере, превышающем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раза размер обеспечения его исполнения, указанный в документации о проведении электронного аукциона,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если при проведении электронного аукциона участником закупки,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 которым заключается договор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предложена цена, которая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Участник закупки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обязан дополнительно представить Заказчику обоснован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гарантия оформляется в письменной форме на бумажном носителе или в форме электронного документа,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подписанного усиленной квалифицированной электронной подписью лица, имеющего право действовать от имени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организации, выдавшей независимую гарантию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требование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(или) в случае расторжения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должен превышать срок оказания услуг и (или) выполнения работ по договору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4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hanging="7"/>
              <w:widowControl w:val="off"/>
              <w:tabs>
                <w:tab w:val="left" w:pos="6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Ответственность Заказчика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договора, предусматривающие ответственность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 и 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аказчика за неисполнение или ненадлежащее исполнение обязательств по договору, определяются Заказчиком в документации о 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spacing w:line="259" w:lineRule="auto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Договор заключается Заказчиком в соответствии с Гражданским кодексом Российской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Порядок заключения договора определяется Заказчиком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Предмет договора, место оказания услуг и (или) проведения работ, виды услуг и (или) работ не могут изменяться в ходе его исполнения. Сроки оказания услуг и (или)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выполнения работ по договору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изменение объема оказываемых услуг и (или) выполняемых работ по договору по соглашению сторон при согласовании таких изменений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недопуск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 к оказанию услуг и (или) выполнению работ по капитальному ремонту по причинам, не связанным с неисполнением или ненадлежащим исполнени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ем такой организацией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приостановка оказания услуг и (или) выполнения работ по капитальному ремонту 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При исполнении договора не допускается перемена подряд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за исключением случаев, если 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подря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по инициативе Заказчика, в том числе в виде одностороннего расторжения договора, или подрядной организации (основания такого расторжения устанавливаются в договор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задержка подрядной организацией начала выполнения работ более чем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ять) календарных дней по причинам, не зависящим от Заказчика или собственников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неоднократное (2 раза и более в течение одного календарного месяца) несоблюдение (отступление от 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ребований, предусмотренных договором,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етствии с условиями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прекращение чл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енства подрядной организации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саморегулируемой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издание актов государственных органов в рамках законодательства Российской Федерации, лишающих права подрядной организации на производство работ; е) нарушение подрядной организацией сроков оказания услуг и (или) выполнения работ продолжительностью более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дцати) календарных дней по любому из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ж) нарушение срока замены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нтии, установленного договором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при отзыве лицензии, 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анкротстве или ликвидации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з) выявление Заказчиком после заключения договора факта недействительности представленной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(представление поддельных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документов, получение от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гаранта опровержения выдачи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и) неисполнение обязательства о продлении срока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при измен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-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</w:t>
      </w:r>
      <w:r>
        <w:rPr>
          <w:rFonts w:ascii="Times New Roman" w:hAnsi="Times New Roman" w:eastAsia="Calibri" w:cs="Times New Roman"/>
          <w:sz w:val="24"/>
          <w:szCs w:val="24"/>
        </w:rPr>
        <w:t xml:space="preserve">ыполнение работ по оценке технического состояния и проектированию капитального ремонта общего имущества многоквартирных домов, являющихся объектами культурного наследия, выявленными объектами культурного наследия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членство в саморегулируемых организациях в области архитектурно-строительного проектирования;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Участника лицензии на осуществление деятельности по сохранению объектов культурного наследия (памятников истории и культуры) народов Российской Федерации в соответствии с законодательством Российской Федерации о лицензировании отдельных видов деятельности;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 3 года, предшествующие дате окончани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я срока подачи заявок на участие в предварительном отборе, контракта или договора, в том числе заключенного в 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неприостановление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неполнородными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</w:t>
      </w:r>
      <w:r>
        <w:rPr>
          <w:rFonts w:ascii="Times New Roman" w:hAnsi="Times New Roman" w:eastAsia="Calibri" w:cs="Times New Roman"/>
          <w:sz w:val="24"/>
          <w:szCs w:val="24"/>
        </w:rPr>
        <w:t xml:space="preserve">) наличие в штате у Участника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риложении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н) наличие у Участника за 3 года, предшествующие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я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 минимальный размер стоимости оказанных услуг и (или) выполненных работ по указанным исполненным контрактам и (или) договорам установлен 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риложении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размере не бо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лее 10 процентов предельного размера обязательств по договорам подряда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выполняющих инженерные изыскания, или саморегулируемой организаци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фактов, указанных в подпунктах "з" - "к" пункта 66 настоящего Положени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подготовить Заявку по форме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риложения № 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ода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</w:t>
      </w:r>
      <w:r>
        <w:rPr>
          <w:rFonts w:ascii="Times New Roman" w:hAnsi="Times New Roman" w:eastAsia="Calibri" w:cs="Times New Roman"/>
          <w:sz w:val="24"/>
          <w:szCs w:val="24"/>
        </w:rPr>
        <w:t xml:space="preserve">ыписка из реестра лицензий на осуществление деятельности по сохранению объектов культурного наследия (памятников истории и культуры) народов Российской Федерации, предоставленная в форме электронного документа, подписанного усиленной квалифицированной элек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тронной подписью лицензирующего органа либо в случае ведения указанного реестра лицензий в информационной системе, оператором которой является федеральный орган исполнительной власти, электронной подписью указанной информационной системы, в случае проведе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ия предварительного отбора на включение в реестр квалифицированных подрядных организаций для участия в электронном аукционе в части оказания услуг и (или) выполнения работ по капитальному ремонту общего имущества в многоквартирных домах (за исключением раб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т по ремонту (замене, модернизации) лифтов), являющихся объектами культурного наследия, выявленными объектами культурного наследия, или в части оказания услуг и (или) выполнения работ по оценке технического состояния и разработке проектной документации на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проведение капитального ремонта общего имущества в многоквартирных домах (за исключением работ по ремонту (замене, модернизации) лифтов), являющихся объектами культурного наследия, выявленными объектами культурного наследия;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штатного расписания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штатно-списочный состав сотрудников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(рекомендуется представлять в соответствии с формой, установленной в Приложении № 3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);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трудовых книжек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(или) сведения о трудовой деятельности, предусмотренные статьей 66.1 Трудового кодекса Российской Федерации, копии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дипломов, сертификатов, аттестатов и удостоверений, подтверждающих наличие у Участника в штате минимального количества квалифицированного персонала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не менее 3 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сполненных контрактов и (или) договоров, подтверждающих наличие у Участника, предусмотренного подпунктом «п» пункта 23 Положения, опыта оказания услуг и (или) выполнения работ, аналогичных предмету проводимого предварительного отбора, в которых указаны уст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ановленный срок оказания услуг и (или) выполнения работ и их первоначальная стоимость, копии актов приемки оказанных услуг и (или) выполненных работ или иных документов по таким контрактам и (или) договорам, в которых указана их окончательная стоимость и 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оторыми подтверждается приемка З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</w:t>
      </w:r>
      <w:r>
        <w:rPr>
          <w:rFonts w:ascii="Times New Roman" w:hAnsi="Times New Roman" w:eastAsia="Calibri" w:cs="Times New Roman"/>
          <w:sz w:val="24"/>
          <w:szCs w:val="24"/>
        </w:rPr>
        <w:t xml:space="preserve">, установленной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 5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м)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(рекомендуется представлять в соответствии с формой, установленной в Приложении № 6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Регистрация на электронной площадке, а также участие в предварительном отборе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установления факта подачи одним Участником 2 (двух) и более Заявок при условии, что поданные ранее Заявки не отозваны, все Заявки такого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проведении предварительного отбора, не принимаются оператором электронной пло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Каждая Заявка, поступившая в установленные сроки, регистрируется оператором электронной площадки, с присво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Установленные дата и время окончания срока подачи Заявок могут быть продлены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запрос о разъяснении Документации о проведении предварительного отбора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далее – Запрос)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13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августа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в сроки, указанные в пункте 3 настоящего раздела,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позднее даты, указанной в пункте 3 настоящего раздела, данный Запрос не рассматр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должен быть подписан, усиленной квалифицированной электронной подп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numPr>
          <w:ilvl w:val="0"/>
          <w:numId w:val="19"/>
        </w:num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рассмотрения Заявок Участников размещена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быть 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либо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неполнородными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contextualSpacing/>
        <w:ind w:left="319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по иным основаниям, кроме случаев, указанных в пункте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включает информацию об Участнике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принятом решении, указанном в пункте 3.1 и 3.2 настоящего раздела,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 электронной площадки в сети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Интернет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6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ab/>
        <w:t xml:space="preserve">   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организаций)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</w:t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(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850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18"/>
        <w:tblW w:w="9494" w:type="dxa"/>
        <w:jc w:val="center"/>
        <w:tblLook w:val="04A0" w:firstRow="1" w:lastRow="0" w:firstColumn="1" w:lastColumn="0" w:noHBand="0" w:noVBand="1"/>
      </w:tblPr>
      <w:tblGrid>
        <w:gridCol w:w="564"/>
        <w:gridCol w:w="5318"/>
        <w:gridCol w:w="3612"/>
      </w:tblGrid>
      <w:tr>
        <w:tblPrEx/>
        <w:trPr>
          <w:jc w:val="center"/>
          <w:trHeight w:val="3552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Предельный размер обязательств  по договорам 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выполняющих инженерные изыскания, или саморегулируемой организац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613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25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2 %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превышает 50 миллионов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1 %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превышает 300 миллионов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61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0,3 %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составляет 300 миллионов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567" w:bottom="1134" w:left="1418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 Имя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 Отчество (при наличии отчества) для индивидуального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701"/>
        <w:gridCol w:w="2976"/>
        <w:gridCol w:w="3119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firstLine="4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инженерных изысканий и архитектурно-строительного проектирования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r/>
            <w:r/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Сведения о включении в реестр специалистов в области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инженерных изысканий и архитектурно-строительного проектирования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)» - указываются сведения о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наличии с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Cs/>
          <w:lang w:eastAsia="ru-RU"/>
        </w:rPr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3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 юридического лица, самостоятельно организующие строительство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 юридического лица – специалист по организации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организации инженерных изысканий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(главный инженер проектов)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главных инженеров проектов, главных архитекторов проектов) 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Calibri" w:cs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418" w:right="1134" w:bottom="567" w:left="1134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918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8"/>
        <w:gridCol w:w="1955"/>
        <w:gridCol w:w="1957"/>
        <w:gridCol w:w="2826"/>
        <w:gridCol w:w="2593"/>
        <w:gridCol w:w="2820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1418" w:right="1134" w:bottom="567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</w: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</w:t>
      </w:r>
      <w:r>
        <w:rPr>
          <w:rFonts w:ascii="Times New Roman" w:hAnsi="Times New Roman" w:eastAsia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на обработку своих персональных данных, указанных</w:t>
      </w:r>
      <w:r>
        <w:rPr>
          <w:rFonts w:ascii="Times New Roman" w:hAnsi="Times New Roman" w:eastAsia="Times New Roman" w:cs="Times New Roman"/>
        </w:rPr>
        <w:t xml:space="preserve">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</w:t>
      </w:r>
      <w:r>
        <w:rPr>
          <w:rFonts w:ascii="Times New Roman" w:hAnsi="Times New Roman" w:eastAsia="Times New Roman" w:cs="Times New Roman"/>
        </w:rPr>
        <w:t xml:space="preserve">нных подрядных организаций, </w:t>
      </w:r>
      <w:r>
        <w:rPr>
          <w:rFonts w:ascii="Times New Roman" w:hAnsi="Times New Roman" w:eastAsia="Times New Roman" w:cs="Times New Roman"/>
        </w:rPr>
        <w:t xml:space="preserve">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 домов (указать номер предварительного отбора) органу, уполномоченному на ве</w:t>
      </w:r>
      <w:r>
        <w:rPr>
          <w:rFonts w:ascii="Times New Roman" w:hAnsi="Times New Roman" w:eastAsia="Times New Roman" w:cs="Times New Roman"/>
        </w:rPr>
        <w:t xml:space="preserve">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</w:t>
      </w:r>
      <w:r>
        <w:rPr>
          <w:rFonts w:ascii="Times New Roman" w:hAnsi="Times New Roman" w:eastAsia="Times New Roman" w:cs="Times New Roman"/>
        </w:rPr>
        <w:t xml:space="preserve">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ул. Фрунзе, 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оф. 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</w:t>
      </w:r>
      <w:r>
        <w:rPr>
          <w:rFonts w:ascii="Times New Roman" w:hAnsi="Times New Roman" w:eastAsia="Times New Roman" w:cs="Times New Roman"/>
        </w:rPr>
        <w:t xml:space="preserve">О</w:t>
      </w:r>
      <w:r>
        <w:rPr>
          <w:rFonts w:ascii="Times New Roman" w:hAnsi="Times New Roman" w:eastAsia="Times New Roman" w:cs="Times New Roman"/>
        </w:rPr>
        <w:t xml:space="preserve">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</w:t>
      </w:r>
      <w:r>
        <w:rPr>
          <w:rFonts w:ascii="Times New Roman" w:hAnsi="Times New Roman" w:eastAsia="Times New Roman" w:cs="Times New Roman"/>
        </w:rPr>
        <w:t xml:space="preserve">е</w:t>
      </w:r>
      <w:r>
        <w:rPr>
          <w:rFonts w:ascii="Times New Roman" w:hAnsi="Times New Roman" w:eastAsia="Times New Roman" w:cs="Times New Roman"/>
        </w:rPr>
        <w:t xml:space="preserve">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</w:t>
      </w:r>
      <w:r>
        <w:rPr>
          <w:rFonts w:ascii="Times New Roman" w:hAnsi="Times New Roman" w:eastAsia="Times New Roman" w:cs="Times New Roman"/>
        </w:rPr>
        <w:t xml:space="preserve">р</w:t>
      </w:r>
      <w:r>
        <w:rPr>
          <w:rFonts w:ascii="Times New Roman" w:hAnsi="Times New Roman" w:eastAsia="Times New Roman" w:cs="Times New Roman"/>
        </w:rPr>
        <w:t xml:space="preserve">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</w:t>
      </w:r>
      <w:r>
        <w:rPr>
          <w:rFonts w:ascii="Times New Roman" w:hAnsi="Times New Roman" w:eastAsia="Times New Roman" w:cs="Times New Roman"/>
        </w:rPr>
        <w:t xml:space="preserve">ь</w:t>
      </w:r>
      <w:r>
        <w:rPr>
          <w:rFonts w:ascii="Times New Roman" w:hAnsi="Times New Roman" w:eastAsia="Times New Roman" w:cs="Times New Roman"/>
        </w:rPr>
        <w:t xml:space="preserve">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</w:t>
      </w:r>
      <w:r>
        <w:rPr>
          <w:rFonts w:ascii="Times New Roman" w:hAnsi="Times New Roman" w:eastAsia="Times New Roman" w:cs="Times New Roman"/>
        </w:rPr>
        <w:t xml:space="preserve">» (далее - Положение).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</w:t>
      </w:r>
      <w:r>
        <w:rPr>
          <w:rFonts w:ascii="Times New Roman" w:hAnsi="Times New Roman" w:eastAsia="Times New Roman" w:cs="Times New Roman"/>
        </w:rPr>
        <w:t xml:space="preserve">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</w:t>
      </w:r>
      <w:r>
        <w:rPr>
          <w:rFonts w:ascii="Times New Roman" w:hAnsi="Times New Roman" w:eastAsia="Times New Roman" w:cs="Times New Roman"/>
        </w:rPr>
        <w:t xml:space="preserve"> о трудовой деятельности.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</w:t>
      </w:r>
      <w:r>
        <w:rPr>
          <w:rFonts w:ascii="Times New Roman" w:hAnsi="Times New Roman" w:eastAsia="Times New Roman" w:cs="Times New Roman"/>
        </w:rPr>
        <w:t xml:space="preserve">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</w:t>
      </w:r>
      <w:r>
        <w:rPr>
          <w:rFonts w:ascii="Times New Roman" w:hAnsi="Times New Roman" w:eastAsia="Times New Roman" w:cs="Times New Roman"/>
        </w:rPr>
        <w:t xml:space="preserve">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</w:t>
      </w:r>
      <w:r>
        <w:rPr>
          <w:rFonts w:ascii="Times New Roman" w:hAnsi="Times New Roman" w:eastAsia="Times New Roman" w:cs="Times New Roman"/>
        </w:rPr>
        <w:t xml:space="preserve">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</w:t>
      </w:r>
      <w:r>
        <w:rPr>
          <w:rFonts w:ascii="Times New Roman" w:hAnsi="Times New Roman" w:eastAsia="Times New Roman" w:cs="Times New Roman"/>
        </w:rPr>
        <w:t xml:space="preserve">анных: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«           »          20     г.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r/>
      <w:r/>
    </w:p>
    <w:p>
      <w:pPr>
        <w:ind w:left="5670"/>
        <w:jc w:val="right"/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MS Sans Serif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65674929"/>
      <w:docPartObj>
        <w:docPartGallery w:val="Page Numbers (Top of Page)"/>
        <w:docPartUnique w:val="true"/>
      </w:docPartObj>
      <w:rPr/>
    </w:sdtPr>
    <w:sdtContent>
      <w:p>
        <w:pPr>
          <w:pStyle w:val="94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60252280"/>
      <w:docPartObj>
        <w:docPartGallery w:val="Page Numbers (Top of Page)"/>
        <w:docPartUnique w:val="true"/>
      </w:docPartObj>
      <w:rPr/>
    </w:sdtPr>
    <w:sdtContent>
      <w:p>
        <w:pPr>
          <w:pStyle w:val="94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20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13"/>
  </w:num>
  <w:num w:numId="5">
    <w:abstractNumId w:val="3"/>
  </w:num>
  <w:num w:numId="6">
    <w:abstractNumId w:val="1"/>
  </w:num>
  <w:num w:numId="7">
    <w:abstractNumId w:val="8"/>
  </w:num>
  <w:num w:numId="8">
    <w:abstractNumId w:val="16"/>
  </w:num>
  <w:num w:numId="9">
    <w:abstractNumId w:val="6"/>
  </w:num>
  <w:num w:numId="10">
    <w:abstractNumId w:val="11"/>
  </w:num>
  <w:num w:numId="11">
    <w:abstractNumId w:val="12"/>
  </w:num>
  <w:num w:numId="12">
    <w:abstractNumId w:val="5"/>
  </w:num>
  <w:num w:numId="13">
    <w:abstractNumId w:val="10"/>
  </w:num>
  <w:num w:numId="14">
    <w:abstractNumId w:val="2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9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>
    <w:name w:val="Heading 1"/>
    <w:basedOn w:val="914"/>
    <w:next w:val="914"/>
    <w:link w:val="7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3">
    <w:name w:val="Heading 1 Char"/>
    <w:basedOn w:val="915"/>
    <w:link w:val="742"/>
    <w:uiPriority w:val="9"/>
    <w:rPr>
      <w:rFonts w:ascii="Arial" w:hAnsi="Arial" w:eastAsia="Arial" w:cs="Arial"/>
      <w:sz w:val="40"/>
      <w:szCs w:val="40"/>
    </w:rPr>
  </w:style>
  <w:style w:type="paragraph" w:styleId="744">
    <w:name w:val="Heading 2"/>
    <w:basedOn w:val="914"/>
    <w:next w:val="914"/>
    <w:link w:val="7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5">
    <w:name w:val="Heading 2 Char"/>
    <w:basedOn w:val="915"/>
    <w:link w:val="744"/>
    <w:uiPriority w:val="9"/>
    <w:rPr>
      <w:rFonts w:ascii="Arial" w:hAnsi="Arial" w:eastAsia="Arial" w:cs="Arial"/>
      <w:sz w:val="34"/>
    </w:rPr>
  </w:style>
  <w:style w:type="paragraph" w:styleId="746">
    <w:name w:val="Heading 3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7">
    <w:name w:val="Heading 3 Char"/>
    <w:basedOn w:val="915"/>
    <w:link w:val="746"/>
    <w:uiPriority w:val="9"/>
    <w:rPr>
      <w:rFonts w:ascii="Arial" w:hAnsi="Arial" w:eastAsia="Arial" w:cs="Arial"/>
      <w:sz w:val="30"/>
      <w:szCs w:val="30"/>
    </w:rPr>
  </w:style>
  <w:style w:type="paragraph" w:styleId="748">
    <w:name w:val="Heading 4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9">
    <w:name w:val="Heading 4 Char"/>
    <w:basedOn w:val="915"/>
    <w:link w:val="748"/>
    <w:uiPriority w:val="9"/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basedOn w:val="915"/>
    <w:link w:val="750"/>
    <w:uiPriority w:val="9"/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basedOn w:val="915"/>
    <w:link w:val="752"/>
    <w:uiPriority w:val="9"/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basedOn w:val="915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basedOn w:val="915"/>
    <w:link w:val="756"/>
    <w:uiPriority w:val="9"/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14"/>
    <w:next w:val="914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basedOn w:val="915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Title"/>
    <w:basedOn w:val="914"/>
    <w:next w:val="914"/>
    <w:link w:val="7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1">
    <w:name w:val="Title Char"/>
    <w:basedOn w:val="915"/>
    <w:link w:val="760"/>
    <w:uiPriority w:val="10"/>
    <w:rPr>
      <w:sz w:val="48"/>
      <w:szCs w:val="48"/>
    </w:rPr>
  </w:style>
  <w:style w:type="paragraph" w:styleId="762">
    <w:name w:val="Subtitle"/>
    <w:basedOn w:val="914"/>
    <w:next w:val="914"/>
    <w:link w:val="763"/>
    <w:uiPriority w:val="11"/>
    <w:qFormat/>
    <w:pPr>
      <w:spacing w:before="200" w:after="200"/>
    </w:pPr>
    <w:rPr>
      <w:sz w:val="24"/>
      <w:szCs w:val="24"/>
    </w:rPr>
  </w:style>
  <w:style w:type="character" w:styleId="763">
    <w:name w:val="Subtitle Char"/>
    <w:basedOn w:val="915"/>
    <w:link w:val="762"/>
    <w:uiPriority w:val="11"/>
    <w:rPr>
      <w:sz w:val="24"/>
      <w:szCs w:val="24"/>
    </w:rPr>
  </w:style>
  <w:style w:type="paragraph" w:styleId="764">
    <w:name w:val="Quote"/>
    <w:basedOn w:val="914"/>
    <w:next w:val="914"/>
    <w:link w:val="765"/>
    <w:uiPriority w:val="29"/>
    <w:qFormat/>
    <w:pPr>
      <w:ind w:left="720" w:right="720"/>
    </w:pPr>
    <w:rPr>
      <w:i/>
    </w:rPr>
  </w:style>
  <w:style w:type="character" w:styleId="765">
    <w:name w:val="Quote Char"/>
    <w:link w:val="764"/>
    <w:uiPriority w:val="29"/>
    <w:rPr>
      <w:i/>
    </w:rPr>
  </w:style>
  <w:style w:type="paragraph" w:styleId="766">
    <w:name w:val="Intense Quote"/>
    <w:basedOn w:val="914"/>
    <w:next w:val="914"/>
    <w:link w:val="7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>
    <w:name w:val="Intense Quote Char"/>
    <w:link w:val="766"/>
    <w:uiPriority w:val="30"/>
    <w:rPr>
      <w:i/>
    </w:rPr>
  </w:style>
  <w:style w:type="character" w:styleId="768">
    <w:name w:val="Header Char"/>
    <w:basedOn w:val="915"/>
    <w:link w:val="942"/>
    <w:uiPriority w:val="99"/>
  </w:style>
  <w:style w:type="character" w:styleId="769">
    <w:name w:val="Footer Char"/>
    <w:basedOn w:val="915"/>
    <w:link w:val="944"/>
    <w:uiPriority w:val="99"/>
  </w:style>
  <w:style w:type="paragraph" w:styleId="770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>
    <w:name w:val="Caption Char"/>
    <w:basedOn w:val="770"/>
    <w:link w:val="944"/>
    <w:uiPriority w:val="99"/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table" w:styleId="918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9" w:customStyle="1">
    <w:name w:val="Сетка таблицы6"/>
    <w:basedOn w:val="916"/>
    <w:next w:val="91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0" w:customStyle="1">
    <w:name w:val="Сетка таблицы1"/>
    <w:basedOn w:val="916"/>
    <w:next w:val="91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1">
    <w:name w:val="Hyperlink"/>
    <w:basedOn w:val="915"/>
    <w:uiPriority w:val="99"/>
    <w:unhideWhenUsed/>
    <w:rPr>
      <w:color w:val="0563c1" w:themeColor="hyperlink"/>
      <w:u w:val="single"/>
    </w:rPr>
  </w:style>
  <w:style w:type="paragraph" w:styleId="922">
    <w:name w:val="No Spacing"/>
    <w:uiPriority w:val="1"/>
    <w:qFormat/>
    <w:pPr>
      <w:spacing w:after="0" w:line="240" w:lineRule="auto"/>
    </w:pPr>
    <w:rPr>
      <w:rFonts w:ascii="Arial" w:hAnsi="Arial" w:eastAsia="Times New Roman" w:cs="Arial"/>
      <w:sz w:val="24"/>
      <w:szCs w:val="24"/>
      <w:lang w:eastAsia="ru-RU"/>
    </w:rPr>
  </w:style>
  <w:style w:type="character" w:styleId="923" w:customStyle="1">
    <w:name w:val="Гипертекстовая ссылка"/>
    <w:basedOn w:val="915"/>
    <w:uiPriority w:val="99"/>
    <w:rPr>
      <w:b/>
      <w:bCs/>
      <w:color w:val="106bbe"/>
    </w:rPr>
  </w:style>
  <w:style w:type="character" w:styleId="924">
    <w:name w:val="FollowedHyperlink"/>
    <w:basedOn w:val="915"/>
    <w:uiPriority w:val="99"/>
    <w:semiHidden/>
    <w:unhideWhenUsed/>
    <w:rPr>
      <w:color w:val="800080"/>
      <w:u w:val="single"/>
    </w:rPr>
  </w:style>
  <w:style w:type="paragraph" w:styleId="925" w:customStyle="1">
    <w:name w:val="xl63"/>
    <w:basedOn w:val="914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6" w:customStyle="1">
    <w:name w:val="xl65"/>
    <w:basedOn w:val="914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7" w:customStyle="1">
    <w:name w:val="xl64"/>
    <w:basedOn w:val="914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8" w:customStyle="1">
    <w:name w:val="xl66"/>
    <w:basedOn w:val="914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9" w:customStyle="1">
    <w:name w:val="xl67"/>
    <w:basedOn w:val="914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0" w:customStyle="1">
    <w:name w:val="xl68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1" w:customStyle="1">
    <w:name w:val="xl69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2" w:customStyle="1">
    <w:name w:val="xl70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3" w:customStyle="1">
    <w:name w:val="xl71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34" w:customStyle="1">
    <w:name w:val="xl72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5" w:customStyle="1">
    <w:name w:val="xl73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6" w:customStyle="1">
    <w:name w:val="xl74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7" w:customStyle="1">
    <w:name w:val="xl75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8" w:customStyle="1">
    <w:name w:val="xl76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9" w:customStyle="1">
    <w:name w:val="xl77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40" w:customStyle="1">
    <w:name w:val="xl78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41">
    <w:name w:val="List Paragraph"/>
    <w:basedOn w:val="914"/>
    <w:uiPriority w:val="34"/>
    <w:qFormat/>
    <w:pPr>
      <w:contextualSpacing/>
      <w:ind w:left="720"/>
    </w:pPr>
  </w:style>
  <w:style w:type="paragraph" w:styleId="942">
    <w:name w:val="Header"/>
    <w:basedOn w:val="914"/>
    <w:link w:val="9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3" w:customStyle="1">
    <w:name w:val="Верхний колонтитул Знак"/>
    <w:basedOn w:val="915"/>
    <w:link w:val="942"/>
    <w:uiPriority w:val="99"/>
  </w:style>
  <w:style w:type="paragraph" w:styleId="944">
    <w:name w:val="Footer"/>
    <w:basedOn w:val="914"/>
    <w:link w:val="9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5" w:customStyle="1">
    <w:name w:val="Нижний колонтитул Знак"/>
    <w:basedOn w:val="915"/>
    <w:link w:val="944"/>
    <w:uiPriority w:val="99"/>
  </w:style>
  <w:style w:type="table" w:styleId="946" w:customStyle="1">
    <w:name w:val="Сетка таблицы61"/>
    <w:basedOn w:val="916"/>
    <w:next w:val="91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7">
    <w:name w:val="Balloon Text"/>
    <w:basedOn w:val="914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915"/>
    <w:link w:val="947"/>
    <w:uiPriority w:val="99"/>
    <w:semiHidden/>
    <w:rPr>
      <w:rFonts w:ascii="Tahoma" w:hAnsi="Tahoma" w:cs="Tahoma"/>
      <w:sz w:val="16"/>
      <w:szCs w:val="16"/>
    </w:rPr>
  </w:style>
  <w:style w:type="paragraph" w:styleId="949" w:customStyle="1">
    <w:name w:val="ConsPlusNormal"/>
    <w:link w:val="950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950" w:customStyle="1">
    <w:name w:val="ConsPlusNormal Знак"/>
    <w:link w:val="949"/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docs.cntd.ru/document/902192610" TargetMode="External"/><Relationship Id="rId13" Type="http://schemas.openxmlformats.org/officeDocument/2006/relationships/hyperlink" Target="http://docs.cntd.ru/document/902186281" TargetMode="External"/><Relationship Id="rId14" Type="http://schemas.openxmlformats.org/officeDocument/2006/relationships/hyperlink" Target="http://www.mjkh.nso.ru/page/724" TargetMode="External"/><Relationship Id="rId15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6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2C52-DF17-45DB-BBA2-E0EB3DAE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pc004</dc:creator>
  <cp:revision>54</cp:revision>
  <dcterms:created xsi:type="dcterms:W3CDTF">2021-11-15T02:27:00Z</dcterms:created>
  <dcterms:modified xsi:type="dcterms:W3CDTF">2024-07-26T09:32:39Z</dcterms:modified>
</cp:coreProperties>
</file>