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.07.2024 №</w:t>
      </w:r>
      <w:r>
        <w:rPr>
          <w:rFonts w:ascii="Times New Roman" w:hAnsi="Times New Roman" w:cs="Times New Roman"/>
          <w:sz w:val="28"/>
          <w:szCs w:val="28"/>
        </w:rPr>
        <w:t xml:space="preserve">170</w:t>
      </w:r>
      <w:r>
        <w:rPr>
          <w:rFonts w:ascii="Times New Roman" w:hAnsi="Times New Roman" w:cs="Times New Roman"/>
          <w:sz w:val="28"/>
          <w:szCs w:val="28"/>
        </w:rPr>
        <w:t xml:space="preserve">-НПА</w:t>
      </w:r>
      <w:r/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3.3-202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Оказание услуг 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министерство жилищно-коммунального хозяйства и энергетики Новосибирской области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37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98"/>
        <w:gridCol w:w="4117"/>
        <w:gridCol w:w="5096"/>
      </w:tblGrid>
      <w:tr>
        <w:tblPrEx/>
        <w:trPr>
          <w:trHeight w:val="861"/>
        </w:trPr>
        <w:tc>
          <w:tcPr>
            <w:shd w:val="clear" w:color="auto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8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61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Новосибирск, 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8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mingkh@nso.ru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68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 (38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238-76-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466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Оказание услуг 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73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61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61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54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июля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54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августа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сентября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070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07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Требования к ремонту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многоквартирных домов (далее – МКД)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являющегося объектом культурного наследия (памятника)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Производственные работы, проводимые в целях поддержания в эксплуатационном состоянии памятника без изменения его особенностей, составляющих предмет охраны.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Требования к приспособлению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являющегося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объектом культурного наследия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для современного использования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Производственные работы, проводимые в целях создания условий для современного использования объекта культурного наследия, представляющих собой историко-культурную ценность элементов объекта культурного наследия.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качеству выполняемых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оказания услуг и (или) выполнения работ по капитальному ремонту общего имущества в МКД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(далее – Подрядная организация)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обеспечить 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ыполнение работ в соответствии с требованиями нормативных документов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строительными нормами и правилами 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СНиП);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техническими регламентами;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сводами правил (СП);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правила по охране труда при эксплуатации электроустановок (ПОТЭУ);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правила устройства электроустановок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(ПУЭ);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правила технической эксплуатации электроустановок потребителей 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ПТЭЭ), и др.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Общие требования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к Подрядной организации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по выполнению работ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1) Осуществлять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фотофиксацию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скрытых работ, основных этапов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2) Предоставлять Заказчику еженедельный письменный отчет о ходе выполнения работ в электронном или бумажном виде.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) Запрещается складирование строительных материалов на придомовой территории МКД.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) Наличие наряд-допуска к огневым работам.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) Демонтажные, монтажные работы проводятся с 8-00 до 19-00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Обеспечить выполнение требований безопасности пребывания людей, так как работы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общего имущества МКД (далее – капитальный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ремонт МКД)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будут осуществляться в условиях эксплуатируемого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Уведомить Заказчика о готовности к началу работ, сдаче-приемке скрытых и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До начала работ Подряд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обязан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выполнить подготовительные работы по защите квартир собственников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 протечек и прочих повреждений, связанных с производством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Назначить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ответственного за производство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Копию приказа представить Заказчику.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Обеспечить обязательное выполнение требований законодательства Российской Федерации о безопасном ведении работ, охране окружающей среды, охране труда, пожарной безопасности и других строительных норм и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Требования к качеству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используемых в ходе работ материалов и оборудования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Качество, технические, функциональные характеристики (потребительские свойства), эксплуатационные характеристики и иные показатели материалов и оборудования, используемых при выполне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нии работ, должны соответствовать Гражданскому кодексу Российской Федерации, Федеральному закону от 22 июля 2008 года № 123-ФЗ «Технический регламент о требованиях пожарной безопасности», Федеральному закону от 23 ноября 2009 года № 261-ФЗ «Об энергосбереж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ении и о повышении энергетической эффективности и о внесении изменений в отдельные законодательные акты Российской Федерации», иным положениям действующего законодательства Российской Федерации, ГОСТ, ОСТ, ТУ, Перечню товара без указания на товарный знак,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Перечню товара с указанием на товарный знак и подтверждаться соответствующими сертификатами/декларациями о соответствии (при их наличии в соответствии с требованиями законодательства Российской Федерации) и другими документами, удостоверяющими их качество.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Технические характеристики материалов и оборудования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1.Количественные и технические характеристики используемых материалов и оборудования – в со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ответствии с локальными сметами.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В случае указания на товарные знаки применяемых материалов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следует читать «или эквивалент» (при согласовании с Заказчиком).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об оказании услуг и (или) выполнении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41"/>
        <w:tblW w:w="10099" w:type="dxa"/>
        <w:tblInd w:w="-34" w:type="dxa"/>
        <w:tblLook w:val="04A0" w:firstRow="1" w:lastRow="0" w:firstColumn="1" w:lastColumn="0" w:noHBand="0" w:noVBand="1"/>
      </w:tblPr>
      <w:tblGrid>
        <w:gridCol w:w="680"/>
        <w:gridCol w:w="34"/>
        <w:gridCol w:w="2376"/>
        <w:gridCol w:w="34"/>
        <w:gridCol w:w="6941"/>
        <w:gridCol w:w="34"/>
      </w:tblGrid>
      <w:tr>
        <w:tblPrEx/>
        <w:trPr>
          <w:gridAfter w:val="1"/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gridAfter w:val="1"/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Предметом договора является выполнение работ по капитальному ремонту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являющихся объектами культурного наследия, выявленными объектами культурного наследия.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(услуги) будут выполняться (оказываться)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отношении объектов, указанных в ориентировочном адресном перечне, размещенном на сайте в информационно-коммуникационной сети «Интернет» http://www.mjkh.nso.ru/page/724.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Фиксированная. Определяется по итогам проведения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Условия аукциона определяются Заказчиком в соответствии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МКД,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одрядных организаций для оказания услуг и (или) выполнения работ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утвержденном постановлением Правительства Российской Федерации от 1 июля 2016 г.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615 (далее – Положение).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может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увеличена по соглашению сторон в ходе его исполнения, но не более чем на 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процентов в связи с пропорциональным увеличением объема выполнения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снижена по соглашению сторон при уменьшении предусмотренных договором об оказании услуг объемов работ (услуг).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обязательств по договору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Исполнение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16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частью 1 статьи 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товаров, работ, услуг для обеспечения государственных и муниципальных нужд» (далее - независимая гарантия)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договора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указыва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Размер обеспечения исполнения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может превышать 30 (тридцать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процентов начальной (максимальной) цены 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исполнения договора может быть установлено в размере, превышающем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раза размер обеспечения его исполнения, указанный в документации о проведении электронного аукциона,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если при проведении электронного аукциона участником закупки, с которым заключается договор 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проведении капитального ремонта МКД, предложена цена, которая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организации, выдавшей независимую гарантию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требование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(или) в случае расторжения договора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должен превышать срок оказания услуг и (или) выполнения работ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193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52"/>
              <w:widowControl w:val="off"/>
              <w:tabs>
                <w:tab w:val="left" w:pos="193" w:leader="none"/>
                <w:tab w:val="left" w:pos="6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Срок предоставления гарантий на оказанные услуги и (или)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0"/>
        </w:trPr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Ответственность Заказчика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договора, предусматривающие ответственность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 и 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аказчика за неисполнение или ненадлежащее исполнение обязательств по договору, определяются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Договор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заключается Заказчиком в соответствии с Гражданским кодексом Ро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ссийской Федерации и Положением.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Поряд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 заключения договора определяе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7"/>
        </w:trPr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Предмет договора, место оказания услуг и (или) проведения работ, виды услуг и (или) работ не могут изменяться в ходе его исполнения. Сроки оказания услуг и (или) выполнения работ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изменение объема оказываемых услуг и (или) выполняемых работ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соглашению сторон при согласовании таких изменений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недопуск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 к оказанию услуг и (или) выполнению работ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причинам, не связанным с неисполнением или ненадлежащим исполнением такой организацией договора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приостановка оказания услуг и (или) выполнения работ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При исполнении договора не допускается перемена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за исключением случаев, если 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по инициативе Заказчика, в том числе в виде одностороннего расторжения договора, или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 (основания такого расторжения устанавливаются в договоре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по решению суда по основаниям, предусмотренным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систематическое (2 раза и более) нарушение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задержка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начала выполнения работ более чем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десять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календарных дней по причинам, не зависящим от Заказчика или собственников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предусмотренных договором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проектной документацией, стандартами, нормами и правилами, а также иными действующими нормативными правовыми актами)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етствии с условиями договора 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прекращение чл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енства Подрядной организации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саморегулируемой организации, издание актов государственных органов в рамках законодательства Российской Федерации, лишающих права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 на производство работ; е) нарушение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сроков оказания услуг и (или) выполнения работ продолжительностью более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тридцати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календарных дней по любому из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ж) нарушение срока замены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гарантии, установленного договором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з) выявление Заказчиком после заключения договора об оказании услуг факта недействительности представленной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(представление поддельных документов, получение от гаранта опровержения выдачи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и) неисполнение обязательства о продлении срока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при изменении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предусмотренных договором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-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</w:t>
      </w:r>
      <w:r>
        <w:rPr>
          <w:rFonts w:ascii="Times New Roman" w:hAnsi="Times New Roman" w:eastAsia="Calibri" w:cs="Times New Roman"/>
          <w:sz w:val="24"/>
          <w:szCs w:val="24"/>
        </w:rPr>
        <w:t xml:space="preserve">ыполнение работ по капитальному ремонту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МКД</w:t>
      </w:r>
      <w:r>
        <w:rPr>
          <w:rFonts w:ascii="Times New Roman" w:hAnsi="Times New Roman" w:eastAsia="Calibri" w:cs="Times New Roman"/>
          <w:sz w:val="24"/>
          <w:szCs w:val="24"/>
        </w:rPr>
        <w:t xml:space="preserve">, являющихся объектами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культурного наследия, выявленными объектами культурного наследия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членство в саморегулируемой организации в области строительства, реконструкции, капитального ремонта объектов капитального строительства;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Участника лицензии на осуществление деятельности по сохранению объектов культурного наследия (памятников истории и культуры) народов Российской Федерации в соответствии с законодательством Российской Федерации о лицензировании отдельных видов деятельности;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отсутствие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отсутствие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онту объектов капитального строительства, относящихся к той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отсутствие процедуры проведения ликвидации в отношении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или отсутствие решения арбитражного суда о признании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неприостановление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конфликта интересов;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неприменение в отношении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 физического лица либо руководителя, членов коллегиального исполнительного органа или главного бухгалтера юридического лица -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отсутствие сведений об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отсутствие сведений об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невозможность для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</w:t>
      </w:r>
      <w:r>
        <w:rPr>
          <w:rFonts w:ascii="Times New Roman" w:hAnsi="Times New Roman" w:eastAsia="Calibri" w:cs="Times New Roman"/>
          <w:sz w:val="24"/>
          <w:szCs w:val="24"/>
        </w:rPr>
        <w:t xml:space="preserve">) наличие в штате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 № 4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rPr>
          <w:rFonts w:ascii="Calibri" w:hAnsi="Calibri" w:eastAsia="Calibri" w:cs="Times New Roman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енее чем по 3 исполненным контрактам 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этом, минимальный размер стоимости оказанных услуг и (или) выполненных работ по указанным исполненным контрактам и (или) договорам установлен в Приложении №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2 к Документации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размере не более 10 процентов предельного размера обязательств по договорам строительного подряда, в соответствии с которым Участником как членом саморег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фактов, указанных в подпунктах "з" - "к" пункта 66 настоящего Положени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неквалифицированных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выпи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индивидуальных предпринимателей или зас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учредительных документов 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предварительного отбора -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документов о государственной регистрации юрид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</w:t>
      </w:r>
      <w:r>
        <w:rPr>
          <w:rFonts w:ascii="Times New Roman" w:hAnsi="Times New Roman" w:eastAsia="Calibri" w:cs="Times New Roman"/>
          <w:sz w:val="24"/>
          <w:szCs w:val="24"/>
        </w:rPr>
        <w:t xml:space="preserve">ыписка из реестра лицензий на осуществление деятельности по сохранению объектов культурного наследия (памятников истории и культуры) народов Российской Федерации, предоставленная в форме электронного документа, подписанного усиленной квалифицированной элек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т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ронной подписью лицензирующего органа либо в случае ведения указанного реестра лицензий в информационной системе, оператором которой является федеральный орган исполнительной власти, электронной подписью указанной информационной системы, - в случае проведе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ия предварительного отбора на включение в реестр квалифицированных подрядных организаций для участия в электронном аукционе в части оказания услуг и (или) выполнения работ по капитальному ремонту общего имущества в многоквартирных домах (за исключением раб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т по ремонту (замене, модернизации) лифтов), являющихся объектами культурного наследия, выявленными объектами культурного наследия, или в части оказания услуг и (или) выполнения работ по оценке технического состояния и разработке проектной документации на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проведение капитального ремонта общего имущества в многоквартирных домах (за исключением работ по ремонту (замене, модернизации) лифтов), являющихся объектами культурного наследия, выявленными объектами культурного наследия;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штатно-списочный состав сотрудников (рекомендуется представлять в соответствии с формой, установленной в Приложении № 3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);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копии трудовых книжек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 и (или) сведения о трудовой деятельности, предусмотренные статьей 66.1 Трудового кодекса Российской Федерации, копии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дипломов, сертификатов, аттестатов и удостоверений, подтверждающих наличие у участника предварительного отбора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копии не менее 3 исполненных контрактов и (или) договоров, подтверждающих наличие у Участника, предусмотренного подпунктом «п»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рекомендуется представить по форме, установленной в Приложении №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5 к Документации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м)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(рекомендуется представлять в соответствии с формой, установленной в Приложении №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 6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к Документации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Регистрация на электронной площадке, а также участие в предварительном отборе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установления факта подачи одним Участником 2 (двух) и более Заявок при условии, что поданные ранее Заявки не отозваны, все Заявки такого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Каждая Заявка, поступившая в установленные сроки, регистрируется оператором электронной площадки, с присво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Установленные дата и время окончания срока подачи Заявок могут быть продлены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неквалифицированной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запрос о разъяснении Документации о проведении предварительного отбора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далее – Запрос)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13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августа 2024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в сроки, указанные в пункте 3 настоящего раздела,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позднее даты, указанной в пункте 3 настоящего раздела, данный Запрос не рассматр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должен быть подписан, усиленной квалифицированной электронной подп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pStyle w:val="934"/>
        <w:numPr>
          <w:ilvl w:val="0"/>
          <w:numId w:val="7"/>
        </w:numPr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быть 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либо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неполнородными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34"/>
        <w:numPr>
          <w:ilvl w:val="0"/>
          <w:numId w:val="7"/>
        </w:numPr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contextualSpacing/>
        <w:ind w:left="319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по иным основаниям, кроме случаев, указанных в пункте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включает информацию об Участнике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принятом решении, указанном в пункте 3.1 и 3.2 настоящего раздела,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 электронной площадки в сети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Интернет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организаций в протоколе указывается обоснование такого решения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7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567" w:bottom="567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ab/>
        <w:t xml:space="preserve">   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организаций)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</w:t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7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(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850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2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939"/>
        <w:tblW w:w="9494" w:type="dxa"/>
        <w:jc w:val="center"/>
        <w:tblLook w:val="04A0" w:firstRow="1" w:lastRow="0" w:firstColumn="1" w:lastColumn="0" w:noHBand="0" w:noVBand="1"/>
      </w:tblPr>
      <w:tblGrid>
        <w:gridCol w:w="564"/>
        <w:gridCol w:w="5318"/>
        <w:gridCol w:w="3612"/>
      </w:tblGrid>
      <w:tr>
        <w:tblPrEx/>
        <w:trPr>
          <w:jc w:val="center"/>
          <w:trHeight w:val="3552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Предельный размер обязательств по договорам строительного подряда, в соответствии с которым Участником как членом саморе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613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90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500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3 миллиарда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10 миллиардов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составляет 10 миллиардов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(пятый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624" w:bottom="1134" w:left="136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 Имя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 Отчество (при наличии отчества) для индивидуального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701"/>
        <w:gridCol w:w="2976"/>
        <w:gridCol w:w="3119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firstLine="4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Сведения о включении в реестр специалистов в области строительства)» - указываются сведения о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наличии с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Cs/>
          <w:lang w:eastAsia="ru-RU"/>
        </w:rPr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3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 юридического лица, самостоятельно организующие строительство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rPr>
          <w:rFonts w:ascii="Times New Roman" w:hAnsi="Times New Roman" w:eastAsia="Calibri" w:cs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418" w:right="1134" w:bottom="567" w:left="1134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93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8"/>
        <w:gridCol w:w="1955"/>
        <w:gridCol w:w="1957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ectPr>
          <w:footnotePr/>
          <w:endnotePr/>
          <w:type w:val="nextPage"/>
          <w:pgSz w:w="16838" w:h="11906" w:orient="landscape"/>
          <w:pgMar w:top="1701" w:right="1134" w:bottom="851" w:left="1134" w:header="709" w:footer="709" w:gutter="0"/>
          <w:cols w:num="1" w:sep="0" w:space="708" w:equalWidth="1"/>
          <w:docGrid w:linePitch="360"/>
        </w:sectPr>
      </w:pPr>
      <w:r/>
      <w:r/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</w: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</w:t>
      </w:r>
      <w:r>
        <w:rPr>
          <w:rFonts w:ascii="Times New Roman" w:hAnsi="Times New Roman" w:eastAsia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на обработку своих персональных данных, указанных</w:t>
      </w:r>
      <w:r>
        <w:rPr>
          <w:rFonts w:ascii="Times New Roman" w:hAnsi="Times New Roman" w:eastAsia="Times New Roman" w:cs="Times New Roman"/>
        </w:rPr>
        <w:t xml:space="preserve">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</w:t>
      </w:r>
      <w:r>
        <w:rPr>
          <w:rFonts w:ascii="Times New Roman" w:hAnsi="Times New Roman" w:eastAsia="Times New Roman" w:cs="Times New Roman"/>
        </w:rPr>
        <w:t xml:space="preserve">нных подрядных организаций, </w:t>
      </w:r>
      <w:r>
        <w:rPr>
          <w:rFonts w:ascii="Times New Roman" w:hAnsi="Times New Roman" w:eastAsia="Times New Roman" w:cs="Times New Roman"/>
        </w:rPr>
        <w:t xml:space="preserve">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 домов (указать номер предварительного отбора) органу, уполномоченному на ве</w:t>
      </w:r>
      <w:r>
        <w:rPr>
          <w:rFonts w:ascii="Times New Roman" w:hAnsi="Times New Roman" w:eastAsia="Times New Roman" w:cs="Times New Roman"/>
        </w:rPr>
        <w:t xml:space="preserve">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</w:t>
      </w:r>
      <w:r>
        <w:rPr>
          <w:rFonts w:ascii="Times New Roman" w:hAnsi="Times New Roman" w:eastAsia="Times New Roman" w:cs="Times New Roman"/>
        </w:rPr>
        <w:t xml:space="preserve">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ул. Фрунзе, 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оф. 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</w:t>
      </w:r>
      <w:r>
        <w:rPr>
          <w:rFonts w:ascii="Times New Roman" w:hAnsi="Times New Roman" w:eastAsia="Times New Roman" w:cs="Times New Roman"/>
        </w:rPr>
        <w:t xml:space="preserve">О</w:t>
      </w:r>
      <w:r>
        <w:rPr>
          <w:rFonts w:ascii="Times New Roman" w:hAnsi="Times New Roman" w:eastAsia="Times New Roman" w:cs="Times New Roman"/>
        </w:rPr>
        <w:t xml:space="preserve">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</w:t>
      </w:r>
      <w:r>
        <w:rPr>
          <w:rFonts w:ascii="Times New Roman" w:hAnsi="Times New Roman" w:eastAsia="Times New Roman" w:cs="Times New Roman"/>
        </w:rPr>
        <w:t xml:space="preserve">е</w:t>
      </w:r>
      <w:r>
        <w:rPr>
          <w:rFonts w:ascii="Times New Roman" w:hAnsi="Times New Roman" w:eastAsia="Times New Roman" w:cs="Times New Roman"/>
        </w:rPr>
        <w:t xml:space="preserve">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</w:t>
      </w:r>
      <w:r>
        <w:rPr>
          <w:rFonts w:ascii="Times New Roman" w:hAnsi="Times New Roman" w:eastAsia="Times New Roman" w:cs="Times New Roman"/>
        </w:rPr>
        <w:t xml:space="preserve">р</w:t>
      </w:r>
      <w:r>
        <w:rPr>
          <w:rFonts w:ascii="Times New Roman" w:hAnsi="Times New Roman" w:eastAsia="Times New Roman" w:cs="Times New Roman"/>
        </w:rPr>
        <w:t xml:space="preserve">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</w:t>
      </w:r>
      <w:r>
        <w:rPr>
          <w:rFonts w:ascii="Times New Roman" w:hAnsi="Times New Roman" w:eastAsia="Times New Roman" w:cs="Times New Roman"/>
        </w:rPr>
        <w:t xml:space="preserve">ь</w:t>
      </w:r>
      <w:r>
        <w:rPr>
          <w:rFonts w:ascii="Times New Roman" w:hAnsi="Times New Roman" w:eastAsia="Times New Roman" w:cs="Times New Roman"/>
        </w:rPr>
        <w:t xml:space="preserve">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</w:t>
      </w:r>
      <w:r>
        <w:rPr>
          <w:rFonts w:ascii="Times New Roman" w:hAnsi="Times New Roman" w:eastAsia="Times New Roman" w:cs="Times New Roman"/>
        </w:rPr>
        <w:t xml:space="preserve">» (далее - Положение).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</w:t>
      </w:r>
      <w:r>
        <w:rPr>
          <w:rFonts w:ascii="Times New Roman" w:hAnsi="Times New Roman" w:eastAsia="Times New Roman" w:cs="Times New Roman"/>
        </w:rPr>
        <w:t xml:space="preserve">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</w:t>
      </w:r>
      <w:r>
        <w:rPr>
          <w:rFonts w:ascii="Times New Roman" w:hAnsi="Times New Roman" w:eastAsia="Times New Roman" w:cs="Times New Roman"/>
        </w:rPr>
        <w:t xml:space="preserve"> о трудовой деятельности.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</w:t>
      </w:r>
      <w:r>
        <w:rPr>
          <w:rFonts w:ascii="Times New Roman" w:hAnsi="Times New Roman" w:eastAsia="Times New Roman" w:cs="Times New Roman"/>
        </w:rPr>
        <w:t xml:space="preserve">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</w:t>
      </w:r>
      <w:r>
        <w:rPr>
          <w:rFonts w:ascii="Times New Roman" w:hAnsi="Times New Roman" w:eastAsia="Times New Roman" w:cs="Times New Roman"/>
        </w:rPr>
        <w:t xml:space="preserve">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</w:t>
      </w:r>
      <w:r>
        <w:rPr>
          <w:rFonts w:ascii="Times New Roman" w:hAnsi="Times New Roman" w:eastAsia="Times New Roman" w:cs="Times New Roman"/>
        </w:rPr>
        <w:t xml:space="preserve">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</w:t>
      </w:r>
      <w:r>
        <w:rPr>
          <w:rFonts w:ascii="Times New Roman" w:hAnsi="Times New Roman" w:eastAsia="Times New Roman" w:cs="Times New Roman"/>
        </w:rPr>
        <w:t xml:space="preserve">анных: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«           »          20     г.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10701563"/>
      <w:docPartObj>
        <w:docPartGallery w:val="Page Numbers (Top of Page)"/>
        <w:docPartUnique w:val="true"/>
      </w:docPartObj>
      <w:rPr/>
    </w:sdtPr>
    <w:sdtContent>
      <w:p>
        <w:pPr>
          <w:pStyle w:val="930"/>
          <w:rPr>
            <w:rFonts w:ascii="Times New Roman" w:hAnsi="Times New Roman" w:cs="Times New Roman"/>
            <w:color w:val="ffffff" w:themeColor="background1"/>
          </w:rPr>
        </w:pPr>
        <w:r>
          <w:rPr>
            <w:rFonts w:ascii="Times New Roman" w:hAnsi="Times New Roman" w:cs="Times New Roman"/>
            <w:color w:val="ffffff" w:themeColor="background1"/>
          </w:rPr>
          <w:fldChar w:fldCharType="begin"/>
        </w:r>
        <w:r>
          <w:rPr>
            <w:rFonts w:ascii="Times New Roman" w:hAnsi="Times New Roman" w:cs="Times New Roman"/>
            <w:color w:val="ffffff" w:themeColor="background1"/>
          </w:rPr>
          <w:instrText xml:space="preserve">PAGE   \* MERGEFORMAT</w:instrText>
        </w:r>
        <w:r>
          <w:rPr>
            <w:rFonts w:ascii="Times New Roman" w:hAnsi="Times New Roman" w:cs="Times New Roman"/>
            <w:color w:val="ffffff" w:themeColor="background1"/>
          </w:rPr>
          <w:fldChar w:fldCharType="separate"/>
        </w:r>
        <w:r>
          <w:rPr>
            <w:rFonts w:ascii="Times New Roman" w:hAnsi="Times New Roman" w:cs="Times New Roman"/>
            <w:color w:val="ffffff" w:themeColor="background1"/>
          </w:rPr>
          <w:t xml:space="preserve">20</w:t>
        </w:r>
        <w:r>
          <w:rPr>
            <w:rFonts w:ascii="Times New Roman" w:hAnsi="Times New Roman" w:cs="Times New Roman"/>
            <w:color w:val="ffffff" w:themeColor="background1"/>
          </w:rPr>
          <w:fldChar w:fldCharType="end"/>
        </w:r>
        <w:r>
          <w:rPr>
            <w:rFonts w:ascii="Times New Roman" w:hAnsi="Times New Roman" w:cs="Times New Roman"/>
            <w:color w:val="ffffff" w:themeColor="background1"/>
          </w:rPr>
        </w:r>
        <w:r>
          <w:rPr>
            <w:rFonts w:ascii="Times New Roman" w:hAnsi="Times New Roman" w:cs="Times New Roman"/>
            <w:color w:val="ffffff" w:themeColor="background1"/>
          </w:rPr>
        </w:r>
      </w:p>
    </w:sdtContent>
  </w:sdt>
  <w:p>
    <w:pPr>
      <w:pStyle w:val="9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3">
    <w:name w:val="Heading 1"/>
    <w:basedOn w:val="916"/>
    <w:next w:val="916"/>
    <w:link w:val="74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4">
    <w:name w:val="Heading 1 Char"/>
    <w:basedOn w:val="917"/>
    <w:link w:val="743"/>
    <w:uiPriority w:val="9"/>
    <w:rPr>
      <w:rFonts w:ascii="Arial" w:hAnsi="Arial" w:eastAsia="Arial" w:cs="Arial"/>
      <w:sz w:val="40"/>
      <w:szCs w:val="40"/>
    </w:rPr>
  </w:style>
  <w:style w:type="paragraph" w:styleId="745">
    <w:name w:val="Heading 2"/>
    <w:basedOn w:val="916"/>
    <w:next w:val="916"/>
    <w:link w:val="74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6">
    <w:name w:val="Heading 2 Char"/>
    <w:basedOn w:val="917"/>
    <w:link w:val="745"/>
    <w:uiPriority w:val="9"/>
    <w:rPr>
      <w:rFonts w:ascii="Arial" w:hAnsi="Arial" w:eastAsia="Arial" w:cs="Arial"/>
      <w:sz w:val="34"/>
    </w:rPr>
  </w:style>
  <w:style w:type="paragraph" w:styleId="747">
    <w:name w:val="Heading 3"/>
    <w:basedOn w:val="916"/>
    <w:next w:val="916"/>
    <w:link w:val="7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8">
    <w:name w:val="Heading 3 Char"/>
    <w:basedOn w:val="917"/>
    <w:link w:val="747"/>
    <w:uiPriority w:val="9"/>
    <w:rPr>
      <w:rFonts w:ascii="Arial" w:hAnsi="Arial" w:eastAsia="Arial" w:cs="Arial"/>
      <w:sz w:val="30"/>
      <w:szCs w:val="30"/>
    </w:rPr>
  </w:style>
  <w:style w:type="paragraph" w:styleId="749">
    <w:name w:val="Heading 4"/>
    <w:basedOn w:val="916"/>
    <w:next w:val="916"/>
    <w:link w:val="7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0">
    <w:name w:val="Heading 4 Char"/>
    <w:basedOn w:val="917"/>
    <w:link w:val="749"/>
    <w:uiPriority w:val="9"/>
    <w:rPr>
      <w:rFonts w:ascii="Arial" w:hAnsi="Arial" w:eastAsia="Arial" w:cs="Arial"/>
      <w:b/>
      <w:bCs/>
      <w:sz w:val="26"/>
      <w:szCs w:val="26"/>
    </w:rPr>
  </w:style>
  <w:style w:type="paragraph" w:styleId="751">
    <w:name w:val="Heading 5"/>
    <w:basedOn w:val="916"/>
    <w:next w:val="916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2">
    <w:name w:val="Heading 5 Char"/>
    <w:basedOn w:val="917"/>
    <w:link w:val="751"/>
    <w:uiPriority w:val="9"/>
    <w:rPr>
      <w:rFonts w:ascii="Arial" w:hAnsi="Arial" w:eastAsia="Arial" w:cs="Arial"/>
      <w:b/>
      <w:bCs/>
      <w:sz w:val="24"/>
      <w:szCs w:val="24"/>
    </w:rPr>
  </w:style>
  <w:style w:type="paragraph" w:styleId="753">
    <w:name w:val="Heading 6"/>
    <w:basedOn w:val="916"/>
    <w:next w:val="916"/>
    <w:link w:val="7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4">
    <w:name w:val="Heading 6 Char"/>
    <w:basedOn w:val="91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paragraph" w:styleId="755">
    <w:name w:val="Heading 7"/>
    <w:basedOn w:val="916"/>
    <w:next w:val="916"/>
    <w:link w:val="75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7 Char"/>
    <w:basedOn w:val="917"/>
    <w:link w:val="7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7">
    <w:name w:val="Heading 8"/>
    <w:basedOn w:val="916"/>
    <w:next w:val="916"/>
    <w:link w:val="7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8">
    <w:name w:val="Heading 8 Char"/>
    <w:basedOn w:val="917"/>
    <w:link w:val="757"/>
    <w:uiPriority w:val="9"/>
    <w:rPr>
      <w:rFonts w:ascii="Arial" w:hAnsi="Arial" w:eastAsia="Arial" w:cs="Arial"/>
      <w:i/>
      <w:iCs/>
      <w:sz w:val="22"/>
      <w:szCs w:val="22"/>
    </w:rPr>
  </w:style>
  <w:style w:type="paragraph" w:styleId="759">
    <w:name w:val="Heading 9"/>
    <w:basedOn w:val="916"/>
    <w:next w:val="916"/>
    <w:link w:val="7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0">
    <w:name w:val="Heading 9 Char"/>
    <w:basedOn w:val="917"/>
    <w:link w:val="759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No Spacing"/>
    <w:uiPriority w:val="1"/>
    <w:qFormat/>
    <w:pPr>
      <w:spacing w:before="0" w:after="0" w:line="240" w:lineRule="auto"/>
    </w:pPr>
  </w:style>
  <w:style w:type="paragraph" w:styleId="762">
    <w:name w:val="Title"/>
    <w:basedOn w:val="916"/>
    <w:next w:val="916"/>
    <w:link w:val="7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3">
    <w:name w:val="Title Char"/>
    <w:basedOn w:val="917"/>
    <w:link w:val="762"/>
    <w:uiPriority w:val="10"/>
    <w:rPr>
      <w:sz w:val="48"/>
      <w:szCs w:val="48"/>
    </w:rPr>
  </w:style>
  <w:style w:type="paragraph" w:styleId="764">
    <w:name w:val="Subtitle"/>
    <w:basedOn w:val="916"/>
    <w:next w:val="916"/>
    <w:link w:val="765"/>
    <w:uiPriority w:val="11"/>
    <w:qFormat/>
    <w:pPr>
      <w:spacing w:before="200" w:after="200"/>
    </w:pPr>
    <w:rPr>
      <w:sz w:val="24"/>
      <w:szCs w:val="24"/>
    </w:rPr>
  </w:style>
  <w:style w:type="character" w:styleId="765">
    <w:name w:val="Subtitle Char"/>
    <w:basedOn w:val="917"/>
    <w:link w:val="764"/>
    <w:uiPriority w:val="11"/>
    <w:rPr>
      <w:sz w:val="24"/>
      <w:szCs w:val="24"/>
    </w:rPr>
  </w:style>
  <w:style w:type="paragraph" w:styleId="766">
    <w:name w:val="Quote"/>
    <w:basedOn w:val="916"/>
    <w:next w:val="916"/>
    <w:link w:val="767"/>
    <w:uiPriority w:val="29"/>
    <w:qFormat/>
    <w:pPr>
      <w:ind w:left="720" w:right="720"/>
    </w:pPr>
    <w:rPr>
      <w:i/>
    </w:rPr>
  </w:style>
  <w:style w:type="character" w:styleId="767">
    <w:name w:val="Quote Char"/>
    <w:link w:val="766"/>
    <w:uiPriority w:val="29"/>
    <w:rPr>
      <w:i/>
    </w:rPr>
  </w:style>
  <w:style w:type="paragraph" w:styleId="768">
    <w:name w:val="Intense Quote"/>
    <w:basedOn w:val="916"/>
    <w:next w:val="916"/>
    <w:link w:val="7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>
    <w:name w:val="Intense Quote Char"/>
    <w:link w:val="768"/>
    <w:uiPriority w:val="30"/>
    <w:rPr>
      <w:i/>
    </w:rPr>
  </w:style>
  <w:style w:type="character" w:styleId="770">
    <w:name w:val="Header Char"/>
    <w:basedOn w:val="917"/>
    <w:link w:val="930"/>
    <w:uiPriority w:val="99"/>
  </w:style>
  <w:style w:type="character" w:styleId="771">
    <w:name w:val="Footer Char"/>
    <w:basedOn w:val="917"/>
    <w:link w:val="932"/>
    <w:uiPriority w:val="99"/>
  </w:style>
  <w:style w:type="paragraph" w:styleId="772">
    <w:name w:val="Caption"/>
    <w:basedOn w:val="916"/>
    <w:next w:val="9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3">
    <w:name w:val="Caption Char"/>
    <w:basedOn w:val="772"/>
    <w:link w:val="932"/>
    <w:uiPriority w:val="99"/>
  </w:style>
  <w:style w:type="table" w:styleId="774">
    <w:name w:val="Table Grid Light"/>
    <w:basedOn w:val="9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Plain Table 1"/>
    <w:basedOn w:val="9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basedOn w:val="9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4"/>
    <w:basedOn w:val="9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>
    <w:name w:val="Grid Table 4 - Accent 1"/>
    <w:basedOn w:val="9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3">
    <w:name w:val="Grid Table 4 - Accent 2"/>
    <w:basedOn w:val="9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Grid Table 4 - Accent 3"/>
    <w:basedOn w:val="9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5">
    <w:name w:val="Grid Table 4 - Accent 4"/>
    <w:basedOn w:val="9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Grid Table 4 - Accent 5"/>
    <w:basedOn w:val="9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7">
    <w:name w:val="Grid Table 4 - Accent 6"/>
    <w:basedOn w:val="9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8">
    <w:name w:val="Grid Table 5 Dark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5">
    <w:name w:val="Grid Table 6 Colorful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6">
    <w:name w:val="Grid Table 6 Colorful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7">
    <w:name w:val="Grid Table 6 Colorful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8">
    <w:name w:val="Grid Table 6 Colorful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9">
    <w:name w:val="Grid Table 6 Colorful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0">
    <w:name w:val="Grid Table 6 Colorful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1">
    <w:name w:val="Grid Table 6 Colorful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2">
    <w:name w:val="Grid Table 7 Colorful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7">
    <w:name w:val="List Table 2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8">
    <w:name w:val="List Table 2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9">
    <w:name w:val="List Table 2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0">
    <w:name w:val="List Table 2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1">
    <w:name w:val="List Table 2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2">
    <w:name w:val="List Table 2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3">
    <w:name w:val="List Table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5 Dark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6 Colorful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5">
    <w:name w:val="List Table 6 Colorful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6">
    <w:name w:val="List Table 6 Colorful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7">
    <w:name w:val="List Table 6 Colorful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8">
    <w:name w:val="List Table 6 Colorful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9">
    <w:name w:val="List Table 6 Colorful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0">
    <w:name w:val="List Table 6 Colorful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1">
    <w:name w:val="List Table 7 Colorful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2">
    <w:name w:val="List Table 7 Colorful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3">
    <w:name w:val="List Table 7 Colorful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4">
    <w:name w:val="List Table 7 Colorful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5">
    <w:name w:val="List Table 7 Colorful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6">
    <w:name w:val="List Table 7 Colorful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7">
    <w:name w:val="List Table 7 Colorful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8">
    <w:name w:val="Lined - Accent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Lined - Accent 1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0">
    <w:name w:val="Lined - Accent 2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1">
    <w:name w:val="Lined - Accent 3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2">
    <w:name w:val="Lined - Accent 4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3">
    <w:name w:val="Lined - Accent 5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4">
    <w:name w:val="Lined - Accent 6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5">
    <w:name w:val="Bordered &amp; Lined - Accent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Bordered &amp; Lined - Accent 1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7">
    <w:name w:val="Bordered &amp; Lined - Accent 2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8">
    <w:name w:val="Bordered &amp; Lined - Accent 3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9">
    <w:name w:val="Bordered &amp; Lined - Accent 4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0">
    <w:name w:val="Bordered &amp; Lined - Accent 5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1">
    <w:name w:val="Bordered &amp; Lined - Accent 6"/>
    <w:basedOn w:val="9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2">
    <w:name w:val="Bordered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3">
    <w:name w:val="Bordered - Accent 1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4">
    <w:name w:val="Bordered - Accent 2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5">
    <w:name w:val="Bordered - Accent 3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6">
    <w:name w:val="Bordered - Accent 4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7">
    <w:name w:val="Bordered - Accent 5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8">
    <w:name w:val="Bordered - Accent 6"/>
    <w:basedOn w:val="9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9">
    <w:name w:val="footnote text"/>
    <w:basedOn w:val="916"/>
    <w:link w:val="900"/>
    <w:uiPriority w:val="99"/>
    <w:semiHidden/>
    <w:unhideWhenUsed/>
    <w:pPr>
      <w:spacing w:after="40" w:line="240" w:lineRule="auto"/>
    </w:pPr>
    <w:rPr>
      <w:sz w:val="18"/>
    </w:rPr>
  </w:style>
  <w:style w:type="character" w:styleId="900">
    <w:name w:val="Footnote Text Char"/>
    <w:link w:val="899"/>
    <w:uiPriority w:val="99"/>
    <w:rPr>
      <w:sz w:val="18"/>
    </w:rPr>
  </w:style>
  <w:style w:type="character" w:styleId="901">
    <w:name w:val="footnote reference"/>
    <w:basedOn w:val="917"/>
    <w:uiPriority w:val="99"/>
    <w:unhideWhenUsed/>
    <w:rPr>
      <w:vertAlign w:val="superscript"/>
    </w:rPr>
  </w:style>
  <w:style w:type="paragraph" w:styleId="902">
    <w:name w:val="endnote text"/>
    <w:basedOn w:val="916"/>
    <w:link w:val="903"/>
    <w:uiPriority w:val="99"/>
    <w:semiHidden/>
    <w:unhideWhenUsed/>
    <w:pPr>
      <w:spacing w:after="0" w:line="240" w:lineRule="auto"/>
    </w:pPr>
    <w:rPr>
      <w:sz w:val="20"/>
    </w:rPr>
  </w:style>
  <w:style w:type="character" w:styleId="903">
    <w:name w:val="Endnote Text Char"/>
    <w:link w:val="902"/>
    <w:uiPriority w:val="99"/>
    <w:rPr>
      <w:sz w:val="20"/>
    </w:rPr>
  </w:style>
  <w:style w:type="character" w:styleId="904">
    <w:name w:val="endnote reference"/>
    <w:basedOn w:val="917"/>
    <w:uiPriority w:val="99"/>
    <w:semiHidden/>
    <w:unhideWhenUsed/>
    <w:rPr>
      <w:vertAlign w:val="superscript"/>
    </w:rPr>
  </w:style>
  <w:style w:type="paragraph" w:styleId="905">
    <w:name w:val="toc 1"/>
    <w:basedOn w:val="916"/>
    <w:next w:val="916"/>
    <w:uiPriority w:val="39"/>
    <w:unhideWhenUsed/>
    <w:pPr>
      <w:ind w:left="0" w:right="0" w:firstLine="0"/>
      <w:spacing w:after="57"/>
    </w:pPr>
  </w:style>
  <w:style w:type="paragraph" w:styleId="906">
    <w:name w:val="toc 2"/>
    <w:basedOn w:val="916"/>
    <w:next w:val="916"/>
    <w:uiPriority w:val="39"/>
    <w:unhideWhenUsed/>
    <w:pPr>
      <w:ind w:left="283" w:right="0" w:firstLine="0"/>
      <w:spacing w:after="57"/>
    </w:pPr>
  </w:style>
  <w:style w:type="paragraph" w:styleId="907">
    <w:name w:val="toc 3"/>
    <w:basedOn w:val="916"/>
    <w:next w:val="916"/>
    <w:uiPriority w:val="39"/>
    <w:unhideWhenUsed/>
    <w:pPr>
      <w:ind w:left="567" w:right="0" w:firstLine="0"/>
      <w:spacing w:after="57"/>
    </w:pPr>
  </w:style>
  <w:style w:type="paragraph" w:styleId="908">
    <w:name w:val="toc 4"/>
    <w:basedOn w:val="916"/>
    <w:next w:val="916"/>
    <w:uiPriority w:val="39"/>
    <w:unhideWhenUsed/>
    <w:pPr>
      <w:ind w:left="850" w:right="0" w:firstLine="0"/>
      <w:spacing w:after="57"/>
    </w:pPr>
  </w:style>
  <w:style w:type="paragraph" w:styleId="909">
    <w:name w:val="toc 5"/>
    <w:basedOn w:val="916"/>
    <w:next w:val="916"/>
    <w:uiPriority w:val="39"/>
    <w:unhideWhenUsed/>
    <w:pPr>
      <w:ind w:left="1134" w:right="0" w:firstLine="0"/>
      <w:spacing w:after="57"/>
    </w:pPr>
  </w:style>
  <w:style w:type="paragraph" w:styleId="910">
    <w:name w:val="toc 6"/>
    <w:basedOn w:val="916"/>
    <w:next w:val="916"/>
    <w:uiPriority w:val="39"/>
    <w:unhideWhenUsed/>
    <w:pPr>
      <w:ind w:left="1417" w:right="0" w:firstLine="0"/>
      <w:spacing w:after="57"/>
    </w:pPr>
  </w:style>
  <w:style w:type="paragraph" w:styleId="911">
    <w:name w:val="toc 7"/>
    <w:basedOn w:val="916"/>
    <w:next w:val="916"/>
    <w:uiPriority w:val="39"/>
    <w:unhideWhenUsed/>
    <w:pPr>
      <w:ind w:left="1701" w:right="0" w:firstLine="0"/>
      <w:spacing w:after="57"/>
    </w:pPr>
  </w:style>
  <w:style w:type="paragraph" w:styleId="912">
    <w:name w:val="toc 8"/>
    <w:basedOn w:val="916"/>
    <w:next w:val="916"/>
    <w:uiPriority w:val="39"/>
    <w:unhideWhenUsed/>
    <w:pPr>
      <w:ind w:left="1984" w:right="0" w:firstLine="0"/>
      <w:spacing w:after="57"/>
    </w:pPr>
  </w:style>
  <w:style w:type="paragraph" w:styleId="913">
    <w:name w:val="toc 9"/>
    <w:basedOn w:val="916"/>
    <w:next w:val="916"/>
    <w:uiPriority w:val="39"/>
    <w:unhideWhenUsed/>
    <w:pPr>
      <w:ind w:left="2268" w:right="0" w:firstLine="0"/>
      <w:spacing w:after="57"/>
    </w:pPr>
  </w:style>
  <w:style w:type="paragraph" w:styleId="914">
    <w:name w:val="TOC Heading"/>
    <w:uiPriority w:val="39"/>
    <w:unhideWhenUsed/>
  </w:style>
  <w:style w:type="paragraph" w:styleId="915">
    <w:name w:val="table of figures"/>
    <w:basedOn w:val="916"/>
    <w:next w:val="916"/>
    <w:uiPriority w:val="99"/>
    <w:unhideWhenUsed/>
    <w:pPr>
      <w:spacing w:after="0" w:afterAutospacing="0"/>
    </w:pPr>
  </w:style>
  <w:style w:type="paragraph" w:styleId="916" w:default="1">
    <w:name w:val="Normal"/>
    <w:qFormat/>
  </w:style>
  <w:style w:type="character" w:styleId="917" w:default="1">
    <w:name w:val="Default Paragraph Font"/>
    <w:uiPriority w:val="1"/>
    <w:semiHidden/>
    <w:unhideWhenUsed/>
  </w:style>
  <w:style w:type="table" w:styleId="9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9" w:default="1">
    <w:name w:val="No List"/>
    <w:uiPriority w:val="99"/>
    <w:semiHidden/>
    <w:unhideWhenUsed/>
  </w:style>
  <w:style w:type="paragraph" w:styleId="920" w:customStyle="1">
    <w:name w:val="ConsPlusNormal"/>
    <w:link w:val="942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921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922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923">
    <w:name w:val="Balloon Text"/>
    <w:basedOn w:val="916"/>
    <w:link w:val="92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24" w:customStyle="1">
    <w:name w:val="Текст выноски Знак"/>
    <w:basedOn w:val="917"/>
    <w:link w:val="923"/>
    <w:uiPriority w:val="99"/>
    <w:semiHidden/>
    <w:rPr>
      <w:rFonts w:ascii="Segoe UI" w:hAnsi="Segoe UI" w:cs="Segoe UI"/>
      <w:sz w:val="18"/>
      <w:szCs w:val="18"/>
    </w:rPr>
  </w:style>
  <w:style w:type="character" w:styleId="925">
    <w:name w:val="annotation reference"/>
    <w:basedOn w:val="917"/>
    <w:uiPriority w:val="99"/>
    <w:semiHidden/>
    <w:unhideWhenUsed/>
    <w:rPr>
      <w:sz w:val="16"/>
      <w:szCs w:val="16"/>
    </w:rPr>
  </w:style>
  <w:style w:type="paragraph" w:styleId="926">
    <w:name w:val="annotation text"/>
    <w:basedOn w:val="916"/>
    <w:link w:val="92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27" w:customStyle="1">
    <w:name w:val="Текст примечания Знак"/>
    <w:basedOn w:val="917"/>
    <w:link w:val="926"/>
    <w:uiPriority w:val="99"/>
    <w:semiHidden/>
    <w:rPr>
      <w:sz w:val="20"/>
      <w:szCs w:val="20"/>
    </w:rPr>
  </w:style>
  <w:style w:type="paragraph" w:styleId="928">
    <w:name w:val="annotation subject"/>
    <w:basedOn w:val="926"/>
    <w:next w:val="926"/>
    <w:link w:val="929"/>
    <w:uiPriority w:val="99"/>
    <w:semiHidden/>
    <w:unhideWhenUsed/>
    <w:rPr>
      <w:b/>
      <w:bCs/>
    </w:rPr>
  </w:style>
  <w:style w:type="character" w:styleId="929" w:customStyle="1">
    <w:name w:val="Тема примечания Знак"/>
    <w:basedOn w:val="927"/>
    <w:link w:val="928"/>
    <w:uiPriority w:val="99"/>
    <w:semiHidden/>
    <w:rPr>
      <w:b/>
      <w:bCs/>
      <w:sz w:val="20"/>
      <w:szCs w:val="20"/>
    </w:rPr>
  </w:style>
  <w:style w:type="paragraph" w:styleId="930">
    <w:name w:val="Header"/>
    <w:basedOn w:val="916"/>
    <w:link w:val="93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1" w:customStyle="1">
    <w:name w:val="Верхний колонтитул Знак"/>
    <w:basedOn w:val="917"/>
    <w:link w:val="930"/>
    <w:uiPriority w:val="99"/>
  </w:style>
  <w:style w:type="paragraph" w:styleId="932">
    <w:name w:val="Footer"/>
    <w:basedOn w:val="916"/>
    <w:link w:val="93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917"/>
    <w:link w:val="932"/>
    <w:uiPriority w:val="99"/>
  </w:style>
  <w:style w:type="paragraph" w:styleId="934">
    <w:name w:val="List Paragraph"/>
    <w:basedOn w:val="916"/>
    <w:link w:val="938"/>
    <w:uiPriority w:val="34"/>
    <w:qFormat/>
    <w:pPr>
      <w:contextualSpacing/>
      <w:ind w:left="720"/>
    </w:pPr>
  </w:style>
  <w:style w:type="character" w:styleId="935">
    <w:name w:val="Hyperlink"/>
    <w:basedOn w:val="917"/>
    <w:uiPriority w:val="99"/>
    <w:unhideWhenUsed/>
    <w:rPr>
      <w:color w:val="0563c1" w:themeColor="hyperlink"/>
      <w:u w:val="single"/>
    </w:rPr>
  </w:style>
  <w:style w:type="table" w:styleId="936" w:customStyle="1">
    <w:name w:val="Сетка таблицы6"/>
    <w:basedOn w:val="918"/>
    <w:next w:val="93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7" w:customStyle="1">
    <w:name w:val="Сетка таблицы1"/>
    <w:basedOn w:val="918"/>
    <w:next w:val="93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8" w:customStyle="1">
    <w:name w:val="Абзац списка Знак"/>
    <w:link w:val="934"/>
    <w:uiPriority w:val="34"/>
  </w:style>
  <w:style w:type="table" w:styleId="939">
    <w:name w:val="Table Grid"/>
    <w:basedOn w:val="91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0" w:customStyle="1">
    <w:name w:val="Сетка таблицы2"/>
    <w:basedOn w:val="918"/>
    <w:next w:val="93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1" w:customStyle="1">
    <w:name w:val="Сетка таблицы61"/>
    <w:basedOn w:val="918"/>
    <w:next w:val="93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2" w:customStyle="1">
    <w:name w:val="ConsPlusNormal Знак"/>
    <w:link w:val="920"/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7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8EFE6-0056-4C8E-B881-C00B6A3B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Анна Анатольевна</dc:creator>
  <cp:keywords/>
  <dc:description/>
  <cp:revision>51</cp:revision>
  <dcterms:created xsi:type="dcterms:W3CDTF">2022-03-23T07:12:00Z</dcterms:created>
  <dcterms:modified xsi:type="dcterms:W3CDTF">2024-07-26T09:34:18Z</dcterms:modified>
</cp:coreProperties>
</file>