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 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4536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министерства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жилищно-коммунального хозяйства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энергетики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.07.2024 №</w:t>
      </w:r>
      <w:r>
        <w:rPr>
          <w:rFonts w:ascii="Times New Roman" w:hAnsi="Times New Roman" w:cs="Times New Roman"/>
          <w:sz w:val="28"/>
          <w:szCs w:val="28"/>
        </w:rPr>
        <w:t xml:space="preserve">170</w:t>
      </w:r>
      <w:r>
        <w:rPr>
          <w:rFonts w:ascii="Times New Roman" w:hAnsi="Times New Roman" w:cs="Times New Roman"/>
          <w:sz w:val="28"/>
          <w:szCs w:val="28"/>
        </w:rPr>
        <w:t xml:space="preserve">-НПА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right="-2"/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ДОКУМЕНТАЦИЯ О ПРОВЕДЕНИИ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№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3.1-20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4-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предмету предварительного отбора «Оказание услуг по осуществлению строительного контроля»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Новосибирск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, 20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4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г.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Общие положения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–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министерство жилищно-коммунального хозяйства и энергетики Новосибирской области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17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98"/>
        <w:gridCol w:w="4117"/>
        <w:gridCol w:w="5096"/>
      </w:tblGrid>
      <w:tr>
        <w:tblPrEx/>
        <w:trPr>
          <w:trHeight w:val="887"/>
        </w:trPr>
        <w:tc>
          <w:tcPr>
            <w:shd w:val="clear" w:color="auto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W w:w="921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Информация о проведении предварительного отбора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gridSpan w:val="3"/>
            <w:shd w:val="clear" w:color="auto" w:fill="ffffff"/>
            <w:tcW w:w="9911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РКПО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887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инистерство жилищно-коммунального хозяйства и энергетики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630091, г. Новосибирск, ул. Фрунзе, 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оф. 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5406793110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mingkh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nso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телефона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 (38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238-76-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shd w:val="clear" w:color="auto" w:fill="ffffff"/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Ф.И.О. контактного лица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Манске Инга Геннадьевна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Оказание услуг по осуществлению строительного контроля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Номер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3.1-20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208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 проведении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http://www.mjkh.nso.ru/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оператора электронной площадки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http://www.rts-tender.ru/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7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Период действия результатов предварительного отбора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начала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июля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89"/>
        </w:trPr>
        <w:tc>
          <w:tcPr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4117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09 часов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6"/>
        </w:trPr>
        <w:tc>
          <w:tcPr>
            <w:tcBorders>
              <w:right w:val="single" w:color="auto" w:sz="4" w:space="0"/>
            </w:tcBorders>
            <w:tcW w:w="698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7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окончания рассмотрения заявок на участие в предварительном отборе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6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03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сентября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оказанию услуг и (или) выполнению работ по капитальному ремонту общего имущества в многоквартирном доме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contextualSpacing/>
        <w:jc w:val="both"/>
        <w:spacing w:before="120" w:after="0" w:line="240" w:lineRule="auto"/>
        <w:rPr>
          <w:rFonts w:ascii="Times New Roman" w:hAnsi="Times New Roman" w:eastAsia="Calibri" w:cs="Times New Roman"/>
          <w:vanish/>
          <w:sz w:val="24"/>
          <w:szCs w:val="24"/>
        </w:rPr>
        <w:outlineLvl w:val="1"/>
      </w:pP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  <w:r>
        <w:rPr>
          <w:rFonts w:ascii="Times New Roman" w:hAnsi="Times New Roman" w:eastAsia="Calibri" w:cs="Times New Roman"/>
          <w:vanish/>
          <w:sz w:val="24"/>
          <w:szCs w:val="24"/>
        </w:rPr>
      </w:r>
    </w:p>
    <w:p>
      <w:pPr>
        <w:jc w:val="center"/>
        <w:spacing w:before="12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12"/>
        <w:gridCol w:w="6285"/>
      </w:tblGrid>
      <w:tr>
        <w:tblPrEx/>
        <w:trPr>
          <w:trHeight w:val="458"/>
          <w:tblHeader/>
        </w:trPr>
        <w:tc>
          <w:tcPr>
            <w:shd w:val="clear" w:color="auto" w:fill="f2f2f2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212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  <w:tblHeader/>
        </w:trPr>
        <w:tc>
          <w:tcPr>
            <w:shd w:val="clear" w:color="auto" w:fill="f2f2f2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2f2f2"/>
            <w:tcW w:w="62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shd w:val="clear" w:color="auto" w:fill="auto"/>
            <w:tcW w:w="56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Особые требования к оказанию услуг и (или)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подрядной организаций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Предметом строительного контроля является проверка выполнения работ при капитальном ремонте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общего имущества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многоквартирного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(далее – МКД)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соответствие требованиям действующего законодательства, проектной и подготовленной на ее основе рабочей документации.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Строительный контроль осуществляется в соответствии с Градостроительным кодексом Российской Федерации, постановлением Правительства Российской Федерации от 21 июня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2010 года № 468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строительства», а также иной действующей нормативной правовой базой Российской Федерации в сфере строительного контроля.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Общие требования к оказанию услуг и (или) выполнению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подрядной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vAlign w:val="center"/>
            <w:textDirection w:val="lrTb"/>
            <w:noWrap w:val="false"/>
          </w:tcPr>
          <w:p>
            <w:pPr>
              <w:ind w:right="-1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Строительный контроль осуществляется в соответствии с Методикой проведения строительного контроля при строительстве, реконструкции, капитал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ьном ремонте объектов капитального строительства СДОС-04-2009 (принята решением Наблюдательного совета Единой системы оценки соответствия в области промышленной, экологической безопасности, безопасности в энергетике и строительстве от 20.07.2009 № 30-БНС).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"/>
              <w:jc w:val="both"/>
              <w:spacing w:after="0" w:line="240" w:lineRule="auto"/>
              <w:tabs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Услуги по осуществлению строительного контроля оказываются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следующими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нормами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законодательства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Градостроительный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Земельный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Жилищный кодекс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от 30.12.2009 № 384-ФЗ «Технический регламент о безопасности зданий и сооружений»;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Российской Федерации от 27.12.2002 № 184-ФЗ «О техническом регулировании»;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закон Российской Федерации от 22.07.2008 № 123-Ф3 «Технический регламент о требованиях пожарной безопасности»;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ВСН 61-89(р) «Реконструкция и капитальный ремонт жилых домов. Нормы проектирования»;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МДС 13-1.99 «Инструкция о составе, порядке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разработки, согласования и утверждения проектно-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сметной документации на капитальный ремонт жилых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зданий»;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21.101-2020 «Система проектной документации для строительства (СПДС). Основные требования к проектной и рабочей документации» (дата введения 01.01.2021);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31-110-2003 «Проектирование и монтаж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электроустановок жилых и общественных зданий»;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Правила устройства электроустановок, утвержденные приказом Министерства энергетики Российской Федерации от 08.07.2002 г. № 204;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31565-2012 «Кабельные изделия. Требования пожарной безопасности»;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76.13330.2016 «Электротехнические устройства. Актуализированная редакция СНиП 3.05.06-85»;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Р 21.101-2020 «Система проектной документации для строительства. Основные требования к проектной и рабочей документации» (дата введения в действие 1 января 2021 года).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ГОСТ 31996-2012 «Кабели силовые с пластмассовой изоляцией на номинальное напряжение 0,66; 1 и 3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кВ.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Общие технические условия»;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равила технической эксплуатации электроустановок потребителей электрической энергии, утвержденные приказом Министерства энергетики Российской Федерации от 12 августа 2022 года № 811;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20.13330.2016 «Нагрузки и воздействия. СНиП 2.01.07-85*» утвержденным приказом Минстроя России от 14.12.2023 № 918/пр;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Изменения № 1 к СП 95.13330.2016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СНиП 2.03.02-86 Бетонные и железобетонные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конструкции из плотного силикатного бетона», утвержденные приказом Минстроя России от 04.12.2023 № 863/пр;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Правила технической эксплуатации тепловых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энергоустановок, утвержденные приказом Министерства энергетики Российской Федерации от 24 марта 2003 года № 115;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38"/>
              <w:numPr>
                <w:ilvl w:val="0"/>
                <w:numId w:val="16"/>
              </w:numPr>
              <w:ind w:left="0" w:right="-1" w:firstLine="0"/>
              <w:jc w:val="both"/>
              <w:spacing w:after="0" w:line="240" w:lineRule="auto"/>
              <w:tabs>
                <w:tab w:val="left" w:pos="238" w:leader="none"/>
                <w:tab w:val="left" w:pos="617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 42-101-2003 «Общие положения по проектированию и строительству газораспределительных систем из металлических и полиэтиленовых труб».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Данный перечень нормативных правовых актов </w:t>
            </w:r>
            <w:r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highlight w:val="white"/>
              </w:rPr>
              <w:t xml:space="preserve">уточняется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Требование к календарному плану оказания услуг и (или) выполнения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62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Услуги должны оказываться в соответствии с прилагаемым к договору на оказани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услуг по осуществлению строительного контроля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(далее – договор)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графиком оказания услуг.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Сведения о существенных условиях договора об оказании услуг и (или) выполнении работ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916"/>
        <w:tblW w:w="10065" w:type="dxa"/>
        <w:tblInd w:w="-34" w:type="dxa"/>
        <w:tblLook w:val="04A0" w:firstRow="1" w:lastRow="0" w:firstColumn="1" w:lastColumn="0" w:noHBand="0" w:noVBand="1"/>
      </w:tblPr>
      <w:tblGrid>
        <w:gridCol w:w="567"/>
        <w:gridCol w:w="2410"/>
        <w:gridCol w:w="7088"/>
      </w:tblGrid>
      <w:tr>
        <w:tblPrEx/>
        <w:trPr>
          <w:tblHeader/>
        </w:trPr>
        <w:tc>
          <w:tcPr>
            <w:shd w:val="clear" w:color="auto" w:fill="f2f2f2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Условие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Описание условия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shd w:val="clear" w:color="auto" w:fill="f2f2f2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f2f2f2"/>
            <w:tcW w:w="70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Фонд модернизации и развития жилищно-коммунального хозяйства муниципальных образований 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596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Предметом договора является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оказание услуг по осуществлению строительного контроля.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Оказание услуг по осуществлению строительного контроля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, включает в себя следующий состав работ (услуг):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а) проверка полноты и соблюдения установленных сроков выполнения подряд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входного контроля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б) проверка выполнения подряд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контрольных мероприятий по соблюдению правил складирования и хранения применяемой продукции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в) проверка полноты и соблюдения установленных сроков выполнения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подряд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контроля последова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тельности и состава технологических операций по осуществлению капитально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 ремонта общего имущества мно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гоквартирных домов и достоверности документирования его результатов;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г) совместно с подряд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освидетельствование скрытых работ и промежуточная приемка возведенных строительных конструкций, влияющих на безопасность объекта капитального ремонта, участков сетей инженерно-технического обеспечения;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д) проверка совместно с подряд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соответствия законченного после 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апитального ремонта объекта тре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бованиям проектной и подготовленной на ее основе рабочей документации, 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ребованиям технических регламен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тов;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е) иные мероприятия в целях осуществления строительного контроля, предусмотренные законодательством Российской Федерации и (или) заключенным договором.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(услуги) будут выполняться (оказываться)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отношении объектов,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12" w:tooltip="http://www.mjkh.nso.ru/page/724." w:history="1">
              <w:r>
                <w:rPr>
                  <w:rStyle w:val="918"/>
                  <w:rFonts w:ascii="Times New Roman" w:hAnsi="Times New Roman" w:eastAsia="Calibri" w:cs="Times New Roman"/>
                  <w:sz w:val="24"/>
                  <w:szCs w:val="24"/>
                </w:rPr>
                <w:t xml:space="preserve">http://www.mjkh.nso.ru/page/724.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3372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Выплата аванса по настоящему договору не производится.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jc w:val="both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jc w:val="both"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Цена договора может быть снижена по соглашению сторон при уменьшении предусмотренных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оговором объемов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contextualSpacing/>
              <w:tabs>
                <w:tab w:val="left" w:pos="45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Изменение стоимости и объемов работ производится на основании реш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ения общего собрания собственни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ков помещений в многоквартирном доме при соблюдении положений, установленных частью 5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статьи 189 Жи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лищного кодекса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оплаты работ (услуг)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и сроки приемки выполненных работ (оказанных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Устанавливаются Заказчиком в документации об электронном аукционе.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Место выполнения работ (оказания услуг) устанавливается Заказчиком в документации о проведении электронного аукциона в пределах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Обеспечение исполнения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Исполнение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обеспечивается: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13" w:tooltip="consultantplus://offline/ref=1A5ACDC7DDF8F0887A5F947293FE2CE5F6F787A58646A3FC26F6FA80EC4498F2B4F4B29DE25C6665B142ABBE2349634291F5A8A8AAE2S3H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частью 1 статьи 45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обеспечительным платежом.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обязательств по договору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договора указыва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Размер обеспечения исполнения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не может превышать 30 (тридцать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процентов начальной (максимальной) цены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договора, указанной в извещении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Обеспечение исполнения договора может быть установлено в размере, превышающем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раза размер обеспечения его исполнения, указанный в документации о проведении электронного аукциона,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если при проведении электронного аукциона участником закупки, с которым заключается договор 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проведении капитального ремонта МКД, предложена цена, которая на 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более процентов ниже начальной (максимальной) цены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организации, выдавшей независимую гарантию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(далее - гарант), на условиях, определенных гражданским законодательством, и должна соответствовать следующим требованиям: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а) быть безотзывной;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 требование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(или) в случае расторжения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д) срок действия независимой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гарантии должен превышать срок оказания услуг и (или) выполнения работ по договору не менее чем на 60 дней.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условии банковского сопровождения договора.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Гарантийный срок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ind w:left="34"/>
              <w:widowControl w:val="off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о гарантийном сроке определяются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widowControl w:val="off"/>
              <w:tabs>
                <w:tab w:val="left" w:pos="60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Ответственность Заказчика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Условия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предусматривающие ответственность сторон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 неисполнение или ненадлежащее исполнение обязательств по такому договору, определяются в документации об электронном аукционе.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Порядок заключения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Договор заключается Заказчиком в соответствии с Гражданским кодексом Российской Федерации и Положением о привлечении специализированной 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имуществ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многоквартирном доме, утвержденном постановлением Правительства Российской Федерации от 1 июля 2016 г. № 615 (далее – Положение).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4"/>
              <w:widowControl w:val="off"/>
              <w:tabs>
                <w:tab w:val="left" w:pos="60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Порядок заключения договора определя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тся Заказчиком в документации о проведении электронного аукциона.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3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Другие существенные условия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1.Предмет договора, место проведения работ (услуг), сроки выполнения работ (услуг), продолжительность этапов выполнения работ (услуг), виды работ (услуг) не могут изменяться в ходе его исполнения, за исключением случаев, предусмотренных Положением.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2.При исполнении договора не допускается перемена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одрядной организации, за исключением случаев, если новая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одрядная организация является правопреемником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 Расторжение договора допускается: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а) по соглашению сторон;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в) по решению суда по основаниям, предусмотренным законодательством Российской Федерации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Заказчик осуществляет расторжение договора в одностороннем порядке, в следующих случаях: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а) систематическое (2 раза и более) нарушение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сроков оказания услуг и (или) выполнения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б) задержка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начала оказания услуг и (или) выполнения работ более чем 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 (десять)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календарных дней по причинам, не зависящим от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аказчика или собственников помещений в многоквартирном доме;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в) неоднократное (2 раза и более в течение одного календарного месяца) несоблюдение (отступление от требова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ний, предусмотренных договором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проектной документацией, стандартами, нормами и правилами, а также иными действующими нормативными правовыми актами)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требований к качеству услуг и (или) работ и (или) технологии проведения работ;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г) неоднократное (2 раза и более в течение одного календарного месяца) использование некачественных материалов, изделий и конструкций, выявленных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аказчиком в соответствии с условиями договора о проведении капитального ремонта;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д) прекращение членства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 саморегулируемой организации, издание актов государственных органов в рамках законодательства Российской Федерации, лишающих права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подрядную организацию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на производство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(оказание услуг)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е) нарушение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сроков оказания услуг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(или) выполнения работ продолжительностью более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 (тридцати)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календарных дней по любому из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МКД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ж) нарушение срока замены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гарантии, установленного договором, при отзыве лицензии, банкротстве или ликвидации гаранта более чем на 2 рабочих дня;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з) выявление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аказчиком после заключения договора факта недействительности представленной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(представление поддельных документов, получение от гаранта опровержения выдачи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подрядной организации в письменной форме);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600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и) неисполнение обязательства о продлении срока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независимой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подрядной организацией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предусмотренных договором сроков оказания услуг и (или) выполнения работ.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участникам предварительного отбора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-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казание услуг по осуществлению строительного контроля,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устанавливаются следующие требования к его участникам (далее – Участник)</w:t>
      </w:r>
      <w:r>
        <w:rPr>
          <w:rFonts w:ascii="Times New Roman" w:hAnsi="Times New Roman" w:eastAsia="Calibri" w:cs="Times New Roman"/>
          <w:sz w:val="24"/>
          <w:szCs w:val="24"/>
        </w:rPr>
        <w:t xml:space="preserve">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членство в саморегулируемой организации в области строительства, реконструкции, капитального ремонта объектов капитального строительства;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задолженности по уплате нал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у Участника за 3 года, предшествующие дате окончани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я срока подачи заявок на участие в предварительном отборе, контракта или договора, в том числе заключенного в соответствии с Положением, по строительству, реконструкции и (или) капитальному ремонту объектов капитального строительства, относящихся к той же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группе услуг и (или)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неприостановление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конфликта интересов, то есть случаев, при которых руководитель Заказчика, член комиссии по проведению предварительного отбора, комиссии по осуществ</w:t>
      </w:r>
      <w:r>
        <w:rPr>
          <w:rFonts w:ascii="Times New Roman" w:hAnsi="Times New Roman" w:eastAsia="Calibri" w:cs="Times New Roman"/>
          <w:sz w:val="24"/>
          <w:szCs w:val="24"/>
        </w:rPr>
        <w:t xml:space="preserve">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членами коллегиального исполнительного органа хозяйственного общества, руководителем учр</w:t>
      </w:r>
      <w:r>
        <w:rPr>
          <w:rFonts w:ascii="Times New Roman" w:hAnsi="Times New Roman" w:eastAsia="Calibri" w:cs="Times New Roman"/>
          <w:sz w:val="24"/>
          <w:szCs w:val="24"/>
        </w:rPr>
        <w:t xml:space="preserve">еждения или унитарного предприятия либо иных органов управления юридического лица - Участника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неполнородными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(имеющими общих отца или мать) братьями или сестрами), усыновителями указанных физических лиц или усыновленными ими. Под выгодоприобретателями понимаются физические лица, 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адеющие напрямую или косвенно (через юридическое лицо или через несколько юридических лиц) более чем 10 (десятью) процентами голосующих акций хозяйственного общества либо долей, превышающей 10 (десять) процентов в уставном капитале хозяйственного общества;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неприменение в отношении Участника – физического лица либо руководителя, членов коллеги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ального исполнительного органа или главного бухгалтера Участника –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поставщиков (подрядчиков, исполнителей), 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л)</w:t>
      </w:r>
      <w:r>
        <w:rPr>
          <w:rFonts w:ascii="Times New Roman" w:hAnsi="Times New Roman" w:eastAsia="Calibri" w:cs="Times New Roman"/>
          <w:sz w:val="24"/>
          <w:szCs w:val="24"/>
        </w:rPr>
        <w:t xml:space="preserve">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в штате у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риложении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 о проведении предварительного отбора, но не ниже количества, установленного пунктом 2 части 6 статьи 55.5 Градостроительного кодекса Российской Федерации;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наличие у Участника за 3 года, предшествующие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</w:t>
      </w:r>
      <w:r>
        <w:rPr>
          <w:rFonts w:ascii="Times New Roman" w:hAnsi="Times New Roman" w:eastAsia="Calibri" w:cs="Times New Roman"/>
          <w:sz w:val="24"/>
          <w:szCs w:val="24"/>
        </w:rPr>
        <w:t xml:space="preserve">являлись строительство, реконструкция, капитальный ремонт зданий, являющихся объектами капитального строительства, ремонт (замена) лифтового оборудования, разработка проектной документации, в том числе по договорам, заключенным в соответствии с Положением;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фактов, указанных в подпунктах "з" - "к" пункта 66 настоящего Положени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я, в течение года до даты рассмотрения заявок на участие в предварительном отборе комиссией по проведению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left="108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содержанию, форме и составу заявки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 Участник должен подготовить Заявку по форме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риложения № 1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которая должна содержать полное наименование, сведения об организационно-правовой форме, о месте нахождения, об адресе юридического лица, идентификационный номер налогоплательщика (при наличии) учредителей, членов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коллегиального исполнительного органа, лица, исполняющего функции единоличного исполнительного органа участника предварительного отбора, - для юридического лица, или фамилию, имя, отчество, паспортные данные, сведения о месте жительства, номер контактного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телефона - для физического лица, зарегистрированного в качестве индивидуального предпринимателя.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 Участник должен подписать Заявку усиленной квалифицированной электронной подписью.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ода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№ 63-ФЗ «Об электронной подписи».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4. В состав Заявки включаются следующие документы: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Заявки,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выписка из Единого государственного реестра инд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ивидуальных предпринимателей или засвидетельствованная в нотариальном порядке копия такой выписки, полученная не ранее чем за 30 календарных дней до даты подачи Заявки, – для физического лица, зарегистрированного в качестве индивидуального предпринимателя;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учредительных документов Участника – для юридического лица;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засвидетельствованного в нотариальном порядке перевода на русский язык документо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полученная не ранее чем за 6 месяцев до дня подачи Заявки, – для иностранных лиц;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е) 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ж)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копия штатного расписания;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  <w:t xml:space="preserve">з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 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штатно-списочный состав сотрудников 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2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трудовых книжек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 (или) сведения о трудовой деятельности, предусмотренные статьей 66.1 Трудового кодекса Российской Федерации, копии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дипломов, сертификатов, аттестатов и удостоверений, подтверждающих наличие у участника предварительного отбора в штате минимального количества квалифицированного персонала;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к) </w:t>
      </w:r>
      <w:r>
        <w:rPr>
          <w:rFonts w:ascii="Times New Roman" w:hAnsi="Times New Roman" w:eastAsia="Calibri" w:cs="Times New Roman"/>
          <w:sz w:val="24"/>
          <w:szCs w:val="24"/>
        </w:rPr>
        <w:t xml:space="preserve">копии не менее 3 исполненных контрактов и (или) договоров, под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тверждающих наличие у Участника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предусмотренного под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пунктом «п» пункта 23 Положения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Обобщенные сведения о наличии контрактов и (или) договоров и их выполнении рек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омендуется представить по форме, установленной в 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 </w:t>
      </w:r>
      <w:r>
        <w:rPr>
          <w:rFonts w:ascii="Times New Roman" w:hAnsi="Times New Roman" w:eastAsia="Calibri" w:cs="Times New Roman"/>
          <w:sz w:val="24"/>
          <w:szCs w:val="24"/>
        </w:rPr>
        <w:t xml:space="preserve">4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 Документации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л) согласие на обработку персональных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(рекомендуется представлять в соответствии с формой, установленной в Приложении №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 5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к Документации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о проведении предварительного отбора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подачи заявок 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подачи Заявки Участник должен зарегистрироваться на сайте оператора электронной площадки в соответствии с регламентом работы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Регистрация на электронной площадке, а также участие в предварительном отборе осуществляется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Заявка, 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ператором электронной площадки.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 вправе подать только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ший Заявку, вправе ее изменить.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ированной электронной подписью.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установления факта подачи одним Участником 2 (двух) и более Заявок при условии, что поданные ранее Заявки не отозваны, все Заявки такого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подается Участником не ранее даты, указанной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10.</w:t>
      </w:r>
      <w: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щадки и возвращаются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Каждая Заявка, поступившая в установленные сроки, регистрируется оператором электронной площадки, с присво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ением порядкового номера.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Установленные дата и время окончания срока подачи Заявок могут быть продлены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случаях, предусмотренных нормами действующего законодательства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и срок отзыва заявок на участие в предварительном отборе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Участник, подавший Заявку, вправе ее отозвать.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разделе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Документации о прове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дении предварительного отбора.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Уведомление об отзыве Заявки должно быть подписано усиленной квалифицированной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электронной подписью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spacing w:after="0" w:line="240" w:lineRule="auto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VIII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142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Любое заинтересованное лицо вправе направить в орган по ведению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запрос о разъяснении Документации о проведении предварительного отбора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далее – Запрос)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Запросы принимаются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13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августа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если Запрос поступил в сроки, указанные в пункте 3 настоящего раздела,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Запрос поступил позднее даты, указанной в пункте 3 настоящего раздела, данный Запрос не рассматр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ивается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Запрос должен быть подписан, усиленной квалифицированной электронной подп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исью лица, направившего Запрос.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7. 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ind w:left="360"/>
        <w:jc w:val="center"/>
        <w:spacing w:after="0" w:line="240" w:lineRule="auto"/>
        <w:tabs>
          <w:tab w:val="left" w:pos="426" w:leader="none"/>
        </w:tabs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X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 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Порядок рассмотрения заявок на участие в предварительном отборе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numPr>
          <w:ilvl w:val="0"/>
          <w:numId w:val="17"/>
        </w:num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до начала проведения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Комиссии, порядке ее деятельности, а также о дате, месте и времени рассмотрения Заявок Участников размещена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Участие в предварительном отборе и заседаниях Комиссии осуществляется без взимания платы с Участника.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Протоколы Комиссии, составленные в ходе рассмотрения Заявок, хранятся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менее 3 (трех) 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Членами Комиссии не могут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быть заинтересованные лица либо лица, на которых способны оказать влияние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либо физические лица, состоящие в браке с руководителем участника 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неполнородными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(имеющими общих отца или мать) братьями и сестрами), 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Включение в реестр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квалифицированных подрядных организаций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7"/>
        </w:numPr>
        <w:contextualSpacing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Порядок рассмотрения Заявок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left="319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Комиссий Заявки направляется подавшему ее Участнику через сайт оператора электронной площадки, а также размещается на сайте Органа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основании результатов рассмотрения Заявок Комиссия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 включение Участника в реестр квалифицированных подрядных организаций;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отказ во включении Участника в реестр квалифицированных подрядных организаций.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Участника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несоответствие Заявки требованиям, установленным в Документации о проведении предварительного отбора;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установление факта представления Участником недостоверной информации (сведений, документов) в составе Заявки.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по иным основаниям, кроме случаев, указанных в пункте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Порядка, не допускается.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2.9.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течение 2 (двух) рабочих дней с даты принятия решения, указанного в подпункте «а» пункта 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настоящего раздела, включает информацию об Участнике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РКПО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Принятие решения о признании предварительного отбора несостоявшимся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left="142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Предварительный отбор признается Комиссией несостоявшимся в следующих случаях: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принятия Комиссией решения 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невключении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признания предварительного отбора несостоявшимся Орган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принимает решение об объявлении процедуры предварительного отбора повторно.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Информация о принятом решении, указанном в пункте 3.1 и 3.2 настоящего раздела,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площадки, в течение 2 рабочих дней со дня признания предварительного отбора несостоявшимся.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 если предварительный отбор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ризнан несостоявшимся в связи с подачей единственной Заявки и Участник, подавший такую Заявку, соответствует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142"/>
        <w:jc w:val="center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Протокол заседания Комиссии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4.1.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официальном сайте и сайте оператора электронной площадки в течение 2 (двух) рабочих дней со дня его подписания.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электронной площадки 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сети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Интернет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4.5.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способов заключения договоров,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4" w:tooltip="consultantplus://offline/ref=A2283303C7D254AD7348380E740FF25A10E2ED22CEB7A37225481EC656EC239C45C4E1787FF2A849uEg7B" w:history="1">
        <w:r>
          <w:rPr>
            <w:rFonts w:ascii="Times New Roman" w:hAnsi="Times New Roman" w:eastAsia="Calibri" w:cs="Times New Roman"/>
            <w:sz w:val="24"/>
            <w:szCs w:val="24"/>
          </w:rPr>
          <w:t xml:space="preserve">частью 2 статьи 55.16</w:t>
        </w:r>
      </w:hyperlink>
      <w:r>
        <w:rPr>
          <w:rFonts w:ascii="Times New Roman" w:hAnsi="Times New Roman" w:eastAsia="Calibri" w:cs="Times New Roman"/>
          <w:sz w:val="24"/>
          <w:szCs w:val="24"/>
        </w:rPr>
        <w:t xml:space="preserve"> Градостроительного кодекса Российской Федерации.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риложение № 1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ЗАЯВКИ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НА УЧАСТИЕ В ПРЕДВАРИТЕЛЬНОМ ОТБОРЕ ПОДРЯДНЫХ ОРГАНИЗАЦИЙ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ПО ИЗВЕЩЕНИЮ № ___ ОТ __________________*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ind w:left="584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4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«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ab/>
        <w:t xml:space="preserve">   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 2__ года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 в лице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Документация о проведении предварительного отбора изучена в полном объеме и признана полной и достаточной для подготовки настоящей Заявки.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гарантируем достоверность представленной информации и подтверждаем право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организаций)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709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Сообщаем о себе следующее: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Полное наименование организации и сведения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юридического лица (или адрес места жительства – для индивидуального предпринимателя):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для почтовых отправлений: 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Телефон:_</w:t>
      </w: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Адрес электронной почты: 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Учредители - полное наименование юридического лица и его организационно правовая форма (или ФИО для учредителя – физического лица)/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членов коллегиального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__________________________________/ИНН 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единоличного исполнительного органа/ ИНН: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____________________________________/ИНН____________________________________,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ФИО лиц, уполномоченных действовать от имени участника предварительного отбора: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12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г) ____________________________________________;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numPr>
          <w:ilvl w:val="0"/>
          <w:numId w:val="13"/>
        </w:numPr>
        <w:ind w:left="0" w:firstLine="0"/>
        <w:jc w:val="both"/>
        <w:spacing w:before="120" w:after="0" w:line="240" w:lineRule="auto"/>
        <w:tabs>
          <w:tab w:val="left" w:pos="28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Настоящим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  (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подтверждает соответствие требованиям, установленным в Документации о проведении предварительного отбора.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850"/>
        <w:jc w:val="both"/>
        <w:spacing w:after="0" w:line="240" w:lineRule="auto"/>
        <w:tabs>
          <w:tab w:val="left" w:pos="284" w:leader="none"/>
          <w:tab w:val="left" w:pos="99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i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Приложения: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  <w:lang w:val="en-US"/>
        </w:rPr>
        <w:t xml:space="preserve">V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Документации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)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.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</w: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  <w:r>
        <w:rPr>
          <w:rFonts w:ascii="Times New Roman" w:hAnsi="Times New Roman" w:eastAsia="Calibri" w:cs="Times New Roman"/>
          <w:i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6379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2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both"/>
        <w:spacing w:before="120" w:after="0" w:line="240" w:lineRule="auto"/>
        <w:tabs>
          <w:tab w:val="left" w:pos="1134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ФОРМА ШТАТНО-СПИСОЧНОГО СОСТАВА СОТРУДНИКОВ </w:t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center"/>
        <w:spacing w:after="12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Фамилия,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Имя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Отчество (при наличии отчества) для индивидуального 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u w:val="single"/>
          <w:lang w:eastAsia="ru-RU"/>
        </w:rPr>
        <w:t xml:space="preserve">предпринимателя)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     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tbl>
      <w:tblPr>
        <w:tblW w:w="14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2976"/>
        <w:gridCol w:w="3119"/>
        <w:gridCol w:w="2990"/>
      </w:tblGrid>
      <w:tr>
        <w:tblPrEx/>
        <w:trPr>
          <w:trHeight w:val="1964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firstLine="4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Фамилия, имя, отчест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 работника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трудовой стаж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10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(лет)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включении в реестр специалистов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r/>
            <w:r/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необходимых сертификатов, лицензий, наличие удостоверений по соответствующим допускам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d9d9d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4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ind w:right="-37"/>
              <w:jc w:val="center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6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9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90" w:type="dxa"/>
            <w:textDirection w:val="lrTb"/>
            <w:noWrap w:val="false"/>
          </w:tcPr>
          <w:p>
            <w:pPr>
              <w:ind w:right="-37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hAnsi="Times New Roman" w:eastAsia="Times New Roman" w:cs="Times New Roman"/>
          <w:i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V Документации.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Табличная форма включает в себя следующие данные: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«№ п/п» указывается номер строки по порядку;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«Фамилия, имя, отчество работника» указываются фамилия имя и отчество (при наличии отчества) сотрудника;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«Образование» указываются 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 в графе «Должность» указываются сведения о должности сотрудника, занимаемой в данной организации, соответствующие сведениям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трудового договора;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«Общий трудовой стаж по профессии, специальности или направлению подготовки в области строительства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(лет)» указываются сведения о стаже работы сотрудника в сфере строительства, которые должны соответствовать сведениям в документах, предоставляемых участником предварительного отбора (трудовым книжкам, дипломам, трудовым договорам);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О включении в реестр специалистов)» - указываются сведения о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наличии 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пециалистов по организации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ных инженеров проектов),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bCs/>
          <w:lang w:eastAsia="ru-RU"/>
        </w:rPr>
      </w:r>
      <w:r>
        <w:rPr>
          <w:rFonts w:ascii="Times New Roman" w:hAnsi="Times New Roman" w:eastAsia="Times New Roman" w:cs="Times New Roman"/>
          <w:bCs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лицензий,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организаций.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Calibri" w:cs="Times New Roman"/>
          <w:sz w:val="24"/>
          <w:szCs w:val="24"/>
        </w:rPr>
        <w:t xml:space="preserve">3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ind w:firstLine="709"/>
        <w:jc w:val="center"/>
        <w:spacing w:after="0" w:line="240" w:lineRule="auto"/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ТРЕБОВАНИЯ К МИНИМАЛЬНОМУ КОЛИЧЕСТВУ КВАЛИФИЦИРОВАННОГО ПЕРСОНАЛА, ВХОДЯЩЕГО В ШТАТ УЧАСТНИКА</w:t>
      </w:r>
      <w:r/>
    </w:p>
    <w:tbl>
      <w:tblPr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3"/>
      </w:tblGrid>
      <w:tr>
        <w:tblPrEx/>
        <w:trPr>
          <w:trHeight w:val="1574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Стаж работы по специальности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человек, не менее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Требование по включению в реестр специалистов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ffffff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Индивидуальный предприниматель/руководител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 юридического лица, самостоятельно организующие строительство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 менее 5 лет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  <w:r>
              <w:rPr>
                <w:rFonts w:ascii="Times New Roman" w:hAnsi="Times New Roman" w:eastAsia="Calibri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Работник индивидуального предпринимателя/ юридического лица – специалист по организации строительства (главный инженер проектов)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области строительства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основному месту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Сведения о специалисте должны быть включены в национальный реестр специалистов в области строительства.</w:t>
            </w:r>
            <w:r>
              <w:rPr>
                <w:rFonts w:ascii="Times New Roman" w:hAnsi="Times New Roman" w:eastAsia="Calibri" w:cs="Times New Roman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</w:rPr>
      </w:r>
      <w:r/>
    </w:p>
    <w:p>
      <w:pPr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 w:clear="all"/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rPr>
          <w:rFonts w:ascii="Times New Roman" w:hAnsi="Times New Roman" w:eastAsia="Calibri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418" w:right="1134" w:bottom="567" w:left="113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ПРЕДМЕТУ ПРЕДВАРИТЕЛЬНОГО ОТБОРА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4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8"/>
        <w:gridCol w:w="1955"/>
        <w:gridCol w:w="1957"/>
        <w:gridCol w:w="2826"/>
        <w:gridCol w:w="2593"/>
        <w:gridCol w:w="2786"/>
      </w:tblGrid>
      <w:tr>
        <w:tblPrEx/>
        <w:trPr>
          <w:trHeight w:val="2632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заключения и номер контракта и (или) договора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Установленный срок оказания услуг и (или) выполнения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Первоначальная стоимость услуг и (или) работ,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Окончательная стоимость услуг и (или) работ (согласно актам приемки оказанных услуг и (или) выполненных работ),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shd w:val="clear" w:color="auto" w:fill="d9d9d9" w:themeFill="background1" w:themeFillShade="D9"/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8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1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5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W w:w="2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540"/>
        </w:trPr>
        <w:tc>
          <w:tcP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1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8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5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  <w:tc>
          <w:tcPr>
            <w:tcW w:w="2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cyan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418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hd w:val="nil" w:color="0000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812"/>
        <w:jc w:val="right"/>
        <w:spacing w:after="0" w:line="240" w:lineRule="auto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</w:r>
      <w:r>
        <w:rPr>
          <w:rFonts w:ascii="Times New Roman" w:hAnsi="Times New Roman" w:eastAsia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СОГЛАСИЕ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субъект персональных данных: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(Ф.И.О.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полностью)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основной документ, удостоверяющий личность:_____________________________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(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наименование, серия, номер, дата выдачи, выдавший орган, код подразделения)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зарегистрированного(-ой) по адресу: ______________________________</w:t>
      </w:r>
      <w:r>
        <w:rPr>
          <w:rFonts w:ascii="Times New Roman" w:hAnsi="Times New Roman" w:eastAsia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соответствии со ст. 9 Федерального закона от 27.07.2006 № 152-ФЗ «О персональных данных» даю конкретное, предметное, информированное, сознательное и однозначное согласие на обработку своих персональных данных, указанных</w:t>
      </w:r>
      <w:r>
        <w:rPr>
          <w:rFonts w:ascii="Times New Roman" w:hAnsi="Times New Roman" w:eastAsia="Times New Roman" w:cs="Times New Roman"/>
        </w:rPr>
        <w:t xml:space="preserve"> в любой из частей заявки на участие в предварительном отборе на право включения ______________________________________________________________________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(наименование участника предварительного отбора и ИНН)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реестр квалифицирова</w:t>
      </w:r>
      <w:r>
        <w:rPr>
          <w:rFonts w:ascii="Times New Roman" w:hAnsi="Times New Roman" w:eastAsia="Times New Roman" w:cs="Times New Roman"/>
        </w:rPr>
        <w:t xml:space="preserve">нных подрядных организаций, </w:t>
      </w:r>
      <w:r>
        <w:rPr>
          <w:rFonts w:ascii="Times New Roman" w:hAnsi="Times New Roman" w:eastAsia="Times New Roman" w:cs="Times New Roman"/>
        </w:rPr>
        <w:t xml:space="preserve">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 домов (указать номер предварительного отбора) органу, уполномоченному на ве</w:t>
      </w:r>
      <w:r>
        <w:rPr>
          <w:rFonts w:ascii="Times New Roman" w:hAnsi="Times New Roman" w:eastAsia="Times New Roman" w:cs="Times New Roman"/>
        </w:rPr>
        <w:t xml:space="preserve">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от 24.08.2016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242-п</w:t>
      </w:r>
      <w:r>
        <w:rPr>
          <w:rFonts w:ascii="Times New Roman" w:hAnsi="Times New Roman" w:eastAsia="Times New Roman" w:cs="Times New Roman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 (ИНН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5406793110</w:t>
      </w:r>
      <w:r>
        <w:rPr>
          <w:rFonts w:ascii="Times New Roman" w:hAnsi="Times New Roman" w:eastAsia="Times New Roman" w:cs="Times New Roman"/>
        </w:rPr>
        <w:t xml:space="preserve">, далее - оператор), нахо</w:t>
      </w:r>
      <w:r>
        <w:rPr>
          <w:rFonts w:ascii="Times New Roman" w:hAnsi="Times New Roman" w:eastAsia="Times New Roman" w:cs="Times New Roman"/>
        </w:rPr>
        <w:t xml:space="preserve">дящемуся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630091, 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ул. Фрунзе, 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оф. 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, с целью исполнения требований п. 25 и пп. в) п. 38 Положения, утвержденного постановлением Правительства Российской Федерации от 01.07.2016 № 615 «</w:t>
      </w:r>
      <w:r>
        <w:rPr>
          <w:rFonts w:ascii="Times New Roman" w:hAnsi="Times New Roman" w:eastAsia="Times New Roman" w:cs="Times New Roman"/>
        </w:rPr>
        <w:t xml:space="preserve">О</w:t>
      </w:r>
      <w:r>
        <w:rPr>
          <w:rFonts w:ascii="Times New Roman" w:hAnsi="Times New Roman" w:eastAsia="Times New Roman" w:cs="Times New Roman"/>
        </w:rPr>
        <w:t xml:space="preserve">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</w:t>
      </w:r>
      <w:r>
        <w:rPr>
          <w:rFonts w:ascii="Times New Roman" w:hAnsi="Times New Roman" w:eastAsia="Times New Roman" w:cs="Times New Roman"/>
        </w:rPr>
        <w:t xml:space="preserve">е</w:t>
      </w:r>
      <w:r>
        <w:rPr>
          <w:rFonts w:ascii="Times New Roman" w:hAnsi="Times New Roman" w:eastAsia="Times New Roman" w:cs="Times New Roman"/>
        </w:rPr>
        <w:t xml:space="preserve">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</w:t>
      </w:r>
      <w:r>
        <w:rPr>
          <w:rFonts w:ascii="Times New Roman" w:hAnsi="Times New Roman" w:eastAsia="Times New Roman" w:cs="Times New Roman"/>
        </w:rPr>
        <w:t xml:space="preserve">р</w:t>
      </w:r>
      <w:r>
        <w:rPr>
          <w:rFonts w:ascii="Times New Roman" w:hAnsi="Times New Roman" w:eastAsia="Times New Roman" w:cs="Times New Roman"/>
        </w:rPr>
        <w:t xml:space="preserve">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</w:t>
      </w:r>
      <w:r>
        <w:rPr>
          <w:rFonts w:ascii="Times New Roman" w:hAnsi="Times New Roman" w:eastAsia="Times New Roman" w:cs="Times New Roman"/>
        </w:rPr>
        <w:t xml:space="preserve">ь</w:t>
      </w:r>
      <w:r>
        <w:rPr>
          <w:rFonts w:ascii="Times New Roman" w:hAnsi="Times New Roman" w:eastAsia="Times New Roman" w:cs="Times New Roman"/>
        </w:rPr>
        <w:t xml:space="preserve">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оборудования)</w:t>
      </w:r>
      <w:r>
        <w:rPr>
          <w:rFonts w:ascii="Times New Roman" w:hAnsi="Times New Roman" w:eastAsia="Times New Roman" w:cs="Times New Roman"/>
        </w:rPr>
        <w:t xml:space="preserve">» (далее - Положение).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 моих персональных данных, на обработку которых я даю согласие: фамилия, имя, отчество (при наличии), дат</w:t>
      </w:r>
      <w:r>
        <w:rPr>
          <w:rFonts w:ascii="Times New Roman" w:hAnsi="Times New Roman" w:eastAsia="Times New Roman" w:cs="Times New Roman"/>
        </w:rPr>
        <w:t xml:space="preserve">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</w:t>
      </w:r>
      <w:r>
        <w:rPr>
          <w:rFonts w:ascii="Times New Roman" w:hAnsi="Times New Roman" w:eastAsia="Times New Roman" w:cs="Times New Roman"/>
        </w:rPr>
        <w:t xml:space="preserve"> о трудовой деятельности.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</w:t>
      </w:r>
      <w:r>
        <w:rPr>
          <w:rFonts w:ascii="Times New Roman" w:hAnsi="Times New Roman" w:eastAsia="Times New Roman" w:cs="Times New Roman"/>
        </w:rPr>
        <w:t xml:space="preserve">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инистерству жилищно-коммунального хозяйства и энергетики Новосибирской области</w:t>
      </w:r>
      <w:r>
        <w:rPr>
          <w:rFonts w:ascii="Times New Roman" w:hAnsi="Times New Roman" w:eastAsia="Times New Roman" w:cs="Times New Roman"/>
        </w:rPr>
        <w:t xml:space="preserve">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Согласие вступает в силу со дня его подписания и действуют в случае: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включе</w:t>
      </w:r>
      <w:r>
        <w:rPr>
          <w:rFonts w:ascii="Times New Roman" w:hAnsi="Times New Roman" w:eastAsia="Times New Roman" w:cs="Times New Roman"/>
        </w:rPr>
        <w:t xml:space="preserve">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не включения в РКПО в течение срока, предусмотренного для обжалования решения</w:t>
      </w:r>
      <w:r>
        <w:rPr>
          <w:rFonts w:ascii="Times New Roman" w:hAnsi="Times New Roman" w:eastAsia="Times New Roman" w:cs="Times New Roman"/>
        </w:rPr>
        <w:t xml:space="preserve"> Комиссии по предварительному отбору, установленного законодательством Российской Федерации.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Субъект персональных д</w:t>
      </w:r>
      <w:r>
        <w:rPr>
          <w:rFonts w:ascii="Times New Roman" w:hAnsi="Times New Roman" w:eastAsia="Times New Roman" w:cs="Times New Roman"/>
        </w:rPr>
        <w:t xml:space="preserve">анных: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«           »          20     г.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</w:rPr>
        <w:t xml:space="preserve">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(подпись)                           (Ф.И.О. с расшифровкой)                          (дата подписания согласия) </w:t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709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p>
      <w:pPr>
        <w:ind w:left="0" w:right="0" w:firstLine="0"/>
        <w:jc w:val="left"/>
        <w:rPr>
          <w:rFonts w:ascii="Times New Roman" w:hAnsi="Times New Roman" w:cs="Times New Roman"/>
          <w:bCs/>
          <w:i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Согласие на обработку персональных данных заполняется собственноручно синей ручкой</w:t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MS Sans Serif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13037551"/>
      <w:docPartObj>
        <w:docPartGallery w:val="Page Numbers (Top of Page)"/>
        <w:docPartUnique w:val="true"/>
      </w:docPartObj>
      <w:rPr/>
    </w:sdtPr>
    <w:sdtContent>
      <w:p>
        <w:pPr>
          <w:pStyle w:val="93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13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0252280"/>
      <w:docPartObj>
        <w:docPartGallery w:val="Page Numbers (Top of Page)"/>
        <w:docPartUnique w:val="true"/>
      </w:docPartObj>
      <w:rPr/>
    </w:sdtPr>
    <w:sdtContent>
      <w:p>
        <w:pPr>
          <w:pStyle w:val="93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19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9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56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06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56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7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52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9">
    <w:name w:val="Heading 1"/>
    <w:basedOn w:val="911"/>
    <w:next w:val="911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0">
    <w:name w:val="Heading 1 Char"/>
    <w:basedOn w:val="912"/>
    <w:link w:val="739"/>
    <w:uiPriority w:val="9"/>
    <w:rPr>
      <w:rFonts w:ascii="Arial" w:hAnsi="Arial" w:eastAsia="Arial" w:cs="Arial"/>
      <w:sz w:val="40"/>
      <w:szCs w:val="40"/>
    </w:rPr>
  </w:style>
  <w:style w:type="paragraph" w:styleId="741">
    <w:name w:val="Heading 2"/>
    <w:basedOn w:val="911"/>
    <w:next w:val="911"/>
    <w:link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2">
    <w:name w:val="Heading 2 Char"/>
    <w:basedOn w:val="912"/>
    <w:link w:val="741"/>
    <w:uiPriority w:val="9"/>
    <w:rPr>
      <w:rFonts w:ascii="Arial" w:hAnsi="Arial" w:eastAsia="Arial" w:cs="Arial"/>
      <w:sz w:val="34"/>
    </w:rPr>
  </w:style>
  <w:style w:type="paragraph" w:styleId="743">
    <w:name w:val="Heading 3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4">
    <w:name w:val="Heading 3 Char"/>
    <w:basedOn w:val="912"/>
    <w:link w:val="743"/>
    <w:uiPriority w:val="9"/>
    <w:rPr>
      <w:rFonts w:ascii="Arial" w:hAnsi="Arial" w:eastAsia="Arial" w:cs="Arial"/>
      <w:sz w:val="30"/>
      <w:szCs w:val="30"/>
    </w:rPr>
  </w:style>
  <w:style w:type="paragraph" w:styleId="745">
    <w:name w:val="Heading 4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>
    <w:name w:val="Heading 4 Char"/>
    <w:basedOn w:val="912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>
    <w:name w:val="Heading 5 Char"/>
    <w:basedOn w:val="912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0">
    <w:name w:val="Heading 6 Char"/>
    <w:basedOn w:val="912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911"/>
    <w:next w:val="911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7 Char"/>
    <w:basedOn w:val="912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>
    <w:name w:val="Heading 8"/>
    <w:basedOn w:val="911"/>
    <w:next w:val="911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4">
    <w:name w:val="Heading 8 Char"/>
    <w:basedOn w:val="912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911"/>
    <w:next w:val="911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>
    <w:name w:val="Heading 9 Char"/>
    <w:basedOn w:val="912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11"/>
    <w:next w:val="911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2"/>
    <w:link w:val="757"/>
    <w:uiPriority w:val="10"/>
    <w:rPr>
      <w:sz w:val="48"/>
      <w:szCs w:val="48"/>
    </w:rPr>
  </w:style>
  <w:style w:type="paragraph" w:styleId="759">
    <w:name w:val="Subtitle"/>
    <w:basedOn w:val="911"/>
    <w:next w:val="911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2"/>
    <w:link w:val="759"/>
    <w:uiPriority w:val="11"/>
    <w:rPr>
      <w:sz w:val="24"/>
      <w:szCs w:val="24"/>
    </w:rPr>
  </w:style>
  <w:style w:type="paragraph" w:styleId="761">
    <w:name w:val="Quote"/>
    <w:basedOn w:val="911"/>
    <w:next w:val="911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1"/>
    <w:next w:val="911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2"/>
    <w:link w:val="939"/>
    <w:uiPriority w:val="99"/>
  </w:style>
  <w:style w:type="character" w:styleId="766">
    <w:name w:val="Footer Char"/>
    <w:basedOn w:val="912"/>
    <w:link w:val="941"/>
    <w:uiPriority w:val="99"/>
  </w:style>
  <w:style w:type="paragraph" w:styleId="767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41"/>
    <w:uiPriority w:val="99"/>
  </w:style>
  <w:style w:type="table" w:styleId="769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8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9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0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1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2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3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5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6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7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8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9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0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2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3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4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5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6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7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2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2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table" w:styleId="915">
    <w:name w:val="Table Grid"/>
    <w:basedOn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6" w:customStyle="1">
    <w:name w:val="Сетка таблицы6"/>
    <w:basedOn w:val="913"/>
    <w:next w:val="91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7" w:customStyle="1">
    <w:name w:val="Сетка таблицы1"/>
    <w:basedOn w:val="913"/>
    <w:next w:val="91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8">
    <w:name w:val="Hyperlink"/>
    <w:basedOn w:val="912"/>
    <w:uiPriority w:val="99"/>
    <w:unhideWhenUsed/>
    <w:rPr>
      <w:color w:val="0563c1" w:themeColor="hyperlink"/>
      <w:u w:val="single"/>
    </w:rPr>
  </w:style>
  <w:style w:type="paragraph" w:styleId="919">
    <w:name w:val="No Spacing"/>
    <w:uiPriority w:val="1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920" w:customStyle="1">
    <w:name w:val="Гипертекстовая ссылка"/>
    <w:basedOn w:val="912"/>
    <w:uiPriority w:val="99"/>
    <w:rPr>
      <w:b/>
      <w:bCs/>
      <w:color w:val="106bbe"/>
    </w:rPr>
  </w:style>
  <w:style w:type="character" w:styleId="921">
    <w:name w:val="FollowedHyperlink"/>
    <w:basedOn w:val="912"/>
    <w:uiPriority w:val="99"/>
    <w:semiHidden/>
    <w:unhideWhenUsed/>
    <w:rPr>
      <w:color w:val="800080"/>
      <w:u w:val="single"/>
    </w:rPr>
  </w:style>
  <w:style w:type="paragraph" w:styleId="922" w:customStyle="1">
    <w:name w:val="xl63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3" w:customStyle="1">
    <w:name w:val="xl65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4" w:customStyle="1">
    <w:name w:val="xl64"/>
    <w:basedOn w:val="911"/>
    <w:pPr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25" w:customStyle="1">
    <w:name w:val="xl66"/>
    <w:basedOn w:val="911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6" w:customStyle="1">
    <w:name w:val="xl67"/>
    <w:basedOn w:val="911"/>
    <w:pPr>
      <w:jc w:val="center"/>
      <w:spacing w:before="100" w:beforeAutospacing="1" w:after="100" w:afterAutospacing="1" w:line="240" w:lineRule="auto"/>
      <w:pBdr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7" w:customStyle="1">
    <w:name w:val="xl68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8" w:customStyle="1">
    <w:name w:val="xl69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29" w:customStyle="1">
    <w:name w:val="xl70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0" w:customStyle="1">
    <w:name w:val="xl71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color w:val="000000"/>
      <w:lang w:eastAsia="ru-RU"/>
    </w:rPr>
  </w:style>
  <w:style w:type="paragraph" w:styleId="931" w:customStyle="1">
    <w:name w:val="xl72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left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2" w:customStyle="1">
    <w:name w:val="xl73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3" w:customStyle="1">
    <w:name w:val="xl74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Calibri" w:hAnsi="Calibri" w:eastAsia="Times New Roman" w:cs="Times New Roman"/>
      <w:b/>
      <w:bCs/>
      <w:color w:val="000000"/>
      <w:lang w:eastAsia="ru-RU"/>
    </w:rPr>
  </w:style>
  <w:style w:type="paragraph" w:styleId="934" w:customStyle="1">
    <w:name w:val="xl75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5" w:customStyle="1">
    <w:name w:val="xl76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 w:customStyle="1">
    <w:name w:val="xl77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37" w:customStyle="1">
    <w:name w:val="xl78"/>
    <w:basedOn w:val="911"/>
    <w:pPr>
      <w:jc w:val="center"/>
      <w:spacing w:before="100" w:beforeAutospacing="1" w:after="100" w:afterAutospacing="1" w:line="240" w:lineRule="auto"/>
      <w:pBdr>
        <w:top w:val="single" w:color="D0D7E5" w:sz="4" w:space="0"/>
        <w:bottom w:val="single" w:color="D0D7E5" w:sz="4" w:space="0"/>
        <w:right w:val="single" w:color="D0D7E5" w:sz="4" w:space="0"/>
      </w:pBdr>
    </w:pPr>
    <w:rPr>
      <w:rFonts w:ascii="MS Sans Serif" w:hAnsi="MS Sans Serif" w:eastAsia="Times New Roman" w:cs="Times New Roman"/>
      <w:b/>
      <w:bCs/>
      <w:sz w:val="24"/>
      <w:szCs w:val="24"/>
      <w:lang w:eastAsia="ru-RU"/>
    </w:rPr>
  </w:style>
  <w:style w:type="paragraph" w:styleId="938">
    <w:name w:val="List Paragraph"/>
    <w:basedOn w:val="911"/>
    <w:link w:val="945"/>
    <w:uiPriority w:val="34"/>
    <w:qFormat/>
    <w:pPr>
      <w:contextualSpacing/>
      <w:ind w:left="720"/>
    </w:pPr>
  </w:style>
  <w:style w:type="paragraph" w:styleId="939">
    <w:name w:val="Header"/>
    <w:basedOn w:val="911"/>
    <w:link w:val="9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0" w:customStyle="1">
    <w:name w:val="Верхний колонтитул Знак"/>
    <w:basedOn w:val="912"/>
    <w:link w:val="939"/>
    <w:uiPriority w:val="99"/>
  </w:style>
  <w:style w:type="paragraph" w:styleId="941">
    <w:name w:val="Footer"/>
    <w:basedOn w:val="911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912"/>
    <w:link w:val="941"/>
    <w:uiPriority w:val="99"/>
  </w:style>
  <w:style w:type="paragraph" w:styleId="943">
    <w:name w:val="Balloon Text"/>
    <w:basedOn w:val="911"/>
    <w:link w:val="9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4" w:customStyle="1">
    <w:name w:val="Текст выноски Знак"/>
    <w:basedOn w:val="912"/>
    <w:link w:val="943"/>
    <w:uiPriority w:val="99"/>
    <w:semiHidden/>
    <w:rPr>
      <w:rFonts w:ascii="Tahoma" w:hAnsi="Tahoma" w:cs="Tahoma"/>
      <w:sz w:val="16"/>
      <w:szCs w:val="16"/>
    </w:rPr>
  </w:style>
  <w:style w:type="character" w:styleId="945" w:customStyle="1">
    <w:name w:val="Абзац списка Знак"/>
    <w:link w:val="938"/>
    <w:uiPriority w:val="34"/>
  </w:style>
  <w:style w:type="table" w:styleId="946" w:customStyle="1">
    <w:name w:val="Сетка таблицы2"/>
    <w:basedOn w:val="913"/>
    <w:next w:val="91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mjkh.nso.ru/page/724." TargetMode="External"/><Relationship Id="rId13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4" Type="http://schemas.openxmlformats.org/officeDocument/2006/relationships/hyperlink" Target="consultantplus://offline/ref=A2283303C7D254AD7348380E740FF25A10E2ED22CEB7A37225481EC656EC239C45C4E1787FF2A849uEg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D63C9-CC00-4C33-B765-DA9C8ED1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pc004</dc:creator>
  <cp:revision>75</cp:revision>
  <dcterms:created xsi:type="dcterms:W3CDTF">2021-11-15T02:29:00Z</dcterms:created>
  <dcterms:modified xsi:type="dcterms:W3CDTF">2024-07-26T09:35:13Z</dcterms:modified>
</cp:coreProperties>
</file>