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 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-202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Оказание услуг и (или) выполнение работ по капитальному ремонту общего имущества многоквартирных домов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Новосибирск, 202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885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900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nso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9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Оказание услуг и (или) выполнение работ по капитальному ремонту общего имущества многоквартирных домов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74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26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1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сентября 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070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W w:w="71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070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качеству выполняемых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многоквартирном доме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(далее – Подрядная организация)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долж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обеспечить 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ыполнение работ в соответствии с требованиями нормативных документов 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оссийской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 с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троительными нормами и правилами 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СНиП);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ехническими регламентами;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водами правил (СП);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равила по охране труда при эксплуатации электроустановок (ПОТЭУ);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shd w:val="clear" w:color="auto" w:fill="ffffff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равила устройства электроустановок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(ПУЭ);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равила технической эксплуатации электроустановок потребителей 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ПТЭЭ), и др.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Общие требования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 Подрядной организации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по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1) Осуществлять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фото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фиксацию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скрытых работ, основных этапов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2) Предоставлять Заказчику еженедельный письменный отчет о ходе выполнения работ в электронном или бумажном виде.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Запрещается складирование строительных матер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иалов на придомовой территории многоквартирного дома (далее – МКД)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Наличие наряд-допуска к огневым работам.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) Демонтажные,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монтажные работы проводятся с 8-00 до 19-00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Обеспечить выполнение требований безопасности пребывания людей, так как работы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общего имущества в МКД (далее – капитальный ремонт МКД)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будут осуществляться в условиях эксплуатируемого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Уведомить Заказчика о готовности к началу работ, сдаче-приемке скрытых и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До начала работ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обязан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выполнить подготовительные работы по защите квартир собственников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 протечек и прочих повреждений, связанных с производством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Назначить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ответственного за производство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Копию приказа представить Заказчику.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пожарной безопасности и других строительных норм и правил.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Требования к качеству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используемых в ходе работ материалов и оборудования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(потребительские свойства), эксплуатационные характеристики и иные показатели материалов и оборудования, используемых при выполнении работ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по капитальному ремонту МКД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, должны соответствовать Гражданскому кодексу Российской Федерации, Федеральному закону от 22 июля 2008 года № 123-ФЗ «Технический регламент о требованиях пожарной безопасности», Федеральному закону от 23 ноября 2009 года № 261-ФЗ «Об энергосбереж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ении и о повышении энергетической эффективности и о внесении изменений в отдельные законодательные акты Российской Федерации», иным положениям действующего законодательства Российской Федерации, ГОСТ, ОСТ, ТУ, Перечню товара без указания на товарный знак,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4"/>
        </w:trPr>
        <w:tc>
          <w:tcPr>
            <w:shd w:val="clear" w:color="auto" w:fill="auto"/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0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Технические характеристики материалов и оборудования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1.Количественные и технические характеристики используемых материалов и оборудования – в соответствии с локальными сметами.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В случае указания на товарные знаки применяемых материалов следует читать «или эквивалент»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(при согласовании с Заказчиком).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left="4185"/>
        <w:jc w:val="center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889"/>
        <w:tblW w:w="10065" w:type="dxa"/>
        <w:tblInd w:w="-34" w:type="dxa"/>
        <w:tblLook w:val="04A0" w:firstRow="1" w:lastRow="0" w:firstColumn="1" w:lastColumn="0" w:noHBand="0" w:noVBand="1"/>
      </w:tblPr>
      <w:tblGrid>
        <w:gridCol w:w="680"/>
        <w:gridCol w:w="2410"/>
        <w:gridCol w:w="6975"/>
      </w:tblGrid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6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6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79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 оказании услуг и(или) выполнения работ (далее – договор)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Предметом договора является выполнени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 работ и (или) оказание услуг 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капитальному ремонту МКД.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указанных в ориентировочном адресном перечне, размещенном на сайте в информационно-коммуникационной сети «Интернет»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http://www.mjkh.nso.ru/page/724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66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Фиксированная. Определяется по итогам проведения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Условия аукциона определяются Заказчиком в соответствии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МКД,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одрядных организаций для оказания услуг и (или) выполнения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утвержденном постановлением Правительства Российской Федерации от 1 июля 2016 г.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615 (далее – Положение).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может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ind w:left="5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увеличена по соглашению сторон в ходе его исполнения, но не более чем на 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процентов в связи с пропорциональным увеличением объема выполнения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договором об оказании услуг объемов работ (услуг).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обязательств по договору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гарантией, выданной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гарантия)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договора, указанной в извещении о проведении электронного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 с которым заключается договор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проведении капитального ремонта МКД,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Участник закупки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 дополнительно представить Заказчику обоснован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(или) в случае расторжения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23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238" w:leader="none"/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аказчика за неисполнение или ненадлежащее исполнение обязател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ьств по договору, определяются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Договор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заключается Заказчиком в соответствии с Гражданским кодексом Российской Федерации и Положением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Поряд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 заключения договора определяе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6975" w:type="dxa"/>
            <w:textDirection w:val="lrTb"/>
            <w:noWrap w:val="false"/>
          </w:tcPr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Предмет договора, место оказания услуг и (или) проведения работ, виды услуг и (или) работ не могут изменяться в ходе его исполнения. Сроки оказания услуг и (или) выполнения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соглашению сторон могут быть продлены на период действия одного из следующих обстоятельств при наличии документов, подтверждающих такие обстоятельства: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изменение объема оказываемых услуг и (или) выполняемых работ по договору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соглашению сторон при согласовании таких изменений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недопуск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собственниками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к оказанию услуг и (или) выполнению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причинам, не связанным с неисполнением или ненадлежащим исполнением такой организацией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приостановка оказания услуг и (или) выполнения работ по капитальному ремонту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связи с наступлением отопительного сезона и (или) неблагоприятных погодных условий.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При исполнении договора не допускается перемена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за исключением случаев, если нов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по соглашению сторон;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одностороннего расторжения договора,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(основания такого расторжения устанавливаются в договоре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по решению суда по основаниям, предусмотренным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Заказчик вправе расторгнуть договор в одностороннем порядке в следующих случаях: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сроков оказания услуг и (или) выполнения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задержка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начала выполнения работ более чем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 (десять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причинам, не зависящим от Заказчика или собственников помещений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в) неоднократное (2 раза и более в течение одного календарного месяца) несоблюдение (отступление от требований, предусмотренных договором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проектной документацией, стандартами, нормами и правилами, а также иными действующими нормативными правовыми актами)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прекращение членства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анизации на производство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е) нарушение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сроков оказания услуг и (или) выполнения работ продолжительностью более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тридцати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календарных дней по любому из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ж) нарушение срока замены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гарантии, установленного договором 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МКД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при отзыве лицензии, банкротстве или ликвидации гаранта более чем на 2 (два) рабочих дня;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17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 проведении капитального ремонта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факта недействительности представленной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(представление поддельных документов, получение от гаранта опровержения выдачи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Подрядной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письменной форме);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одрядной организацией предусмотренных договором о проведении капитального ремонта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МКД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- выполнение работ по капитальному ремонту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МКД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устанавливаются следующие требования к его участникам (далее – Участник):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членство в саморегулируемой организации в области строительства, реконструкции, капитального ремонта объек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тов капитального строительства;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задолженности по уплате налогов,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относящихся к той же группе раб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или отсутствие решения арбитражного суда о признании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 отсутствие конфликта интересов;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 физического лица либо руководителя, членов коллегиального исполнительного органа или главного бухгалтера юридического лица -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в штате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установленном в Приложении № 4 к Документации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но не ниже количества, установленного пунктом 2 части 6 статьи 55.5 Градостроительного кодекса Российской Федерации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енее чем по 3 исполненным контрактам 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этом</w:t>
      </w:r>
      <w:r>
        <w:rPr>
          <w:rFonts w:ascii="Times New Roman" w:hAnsi="Times New Roman" w:eastAsia="Calibri" w:cs="Times New Roman"/>
          <w:sz w:val="24"/>
          <w:szCs w:val="24"/>
        </w:rPr>
        <w:t xml:space="preserve">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минимальный размер стоимости оказанных услуг и (или) выполненных работ по указанным исполненным контрактам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договорам установлен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 2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размере не более 10 процен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тов предельного размера обязательств по договорам строительного подряда, в соответствии с которым Участником как членом саморегулируемой организации, основанной на членстве лиц, осуществляющих строительство, внесен взнос в компенсационный фонд обеспечения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договорных обязательств, сформированный в соответствии с частью 2 статьи 55.16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подготовить Заявку по форме приложения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1 к Документации о проведении предварительного отбора, которая должна содержать полное наименование, сведения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индивидуальных предпринимателей или зас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видетельствованная в нотариальном порядке копия такой выписки,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предварительного отбора -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документов о государственной регистрации юрид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yellow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highlight w:val="yellow"/>
        </w:rPr>
      </w:r>
      <w:r>
        <w:rPr>
          <w:rFonts w:ascii="Times New Roman" w:hAnsi="Times New Roman" w:eastAsia="Calibri" w:cs="Times New Roman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 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штатно-списочный состав сотрудников</w:t>
      </w:r>
      <w:r>
        <w:rPr>
          <w:rFonts w:ascii="Times New Roman" w:hAnsi="Times New Roman" w:eastAsia="Calibri" w:cs="Times New Roman"/>
          <w:sz w:val="24"/>
          <w:szCs w:val="24"/>
        </w:rPr>
        <w:t xml:space="preserve"> (рекомендуется представлять в соответствии с формой, установленной в Приложении № 3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частника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исполненных контрактов и (или) договоров, подтверждающих наличие у Участника, предусмотренного подпунктом «п»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омендуется представить по форме,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</w:t>
      </w:r>
      <w:r>
        <w:rPr>
          <w:rFonts w:ascii="Times New Roman" w:hAnsi="Times New Roman" w:eastAsia="Calibri" w:cs="Times New Roman"/>
          <w:sz w:val="24"/>
          <w:szCs w:val="24"/>
        </w:rPr>
        <w:t xml:space="preserve"> 5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 6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highlight w:val="white"/>
        </w:rPr>
      </w:r>
      <w:r>
        <w:rPr>
          <w:rFonts w:ascii="Times New Roman" w:hAnsi="Times New Roman" w:eastAsia="Calibri" w:cs="Times New Roman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аявки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участие в предварительном отборе (далее – Заявка)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неквалифиц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 2024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Запрос должен быть подписан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усиленной неквалифицированной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неквалифицированных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numPr>
          <w:ilvl w:val="0"/>
          <w:numId w:val="5"/>
        </w:num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быть заинтересованные лица либо лица, на которых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5"/>
        </w:numPr>
        <w:contextualSpacing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й Заявки направляется 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принимаемые Комиссией решения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 электронной площадки в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При принятии комиссией по предварительному отбору решения об отказе во включении участника предварительного отбора в реестр квалифицированн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ых подрядных организаций в протоколе указывается обоснование такого решения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2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567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МИНИМАЛЬНЫЙ РАЗМЕР СТОИМОСТИ ОКАЗАННЫХ УСЛУГ И (ИЛИ) ВЫПОЛНЕННЫХ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887"/>
        <w:tblW w:w="9494" w:type="dxa"/>
        <w:jc w:val="center"/>
        <w:tblLook w:val="04A0" w:firstRow="1" w:lastRow="0" w:firstColumn="1" w:lastColumn="0" w:noHBand="0" w:noVBand="1"/>
      </w:tblPr>
      <w:tblGrid>
        <w:gridCol w:w="564"/>
        <w:gridCol w:w="5318"/>
        <w:gridCol w:w="3612"/>
      </w:tblGrid>
      <w:tr>
        <w:tblPrEx/>
        <w:trPr>
          <w:jc w:val="center"/>
          <w:trHeight w:val="3552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Предельный размер обязательств по договорам строительного подряда, в соответствии с которым Участником как членом саморе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Минимальный размер стоимости оказанных услуг и (или) выполненных работ по исполненным контрактам и (или) договорам*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shd w:val="clear" w:color="auto" w:fill="d9d9d9" w:themeFill="background1" w:themeFillShade="D9"/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53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36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90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(первый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500 миллионов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(второй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3 миллиарда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(третий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3 %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предельного размера обязательств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превышает 10 миллиардов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(четвертый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</w:trPr>
        <w:tc>
          <w:tcPr>
            <w:tcW w:w="5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53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составляет 10 миллиардов рублей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(пятый уровень ответственности члена саморегулируемой 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361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highlight w:val="cyan"/>
        </w:rPr>
      </w:pP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  <w:r>
        <w:rPr>
          <w:rFonts w:ascii="Times New Roman" w:hAnsi="Times New Roman" w:eastAsia="Calibri" w:cs="Times New Roman"/>
          <w:b/>
          <w:sz w:val="24"/>
          <w:szCs w:val="24"/>
          <w:highlight w:val="cy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*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Размер стоимости оказанных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контрактам и (или) договорам.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624" w:bottom="1134" w:left="136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я юридического лица или Фамилия,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в графе «Должность» указываются сведения о должности сотрудника, занимаемой в данной организации, соответствующие сведениям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Сведения о включении в реестр специалистов в области строительства)»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418" w:right="1134" w:bottom="567" w:left="113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88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r/>
      <w:bookmarkStart w:id="0" w:name="_GoBack"/>
      <w:r/>
      <w:bookmarkEnd w:id="0"/>
      <w:r>
        <w:rPr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4528249"/>
      <w:docPartObj>
        <w:docPartGallery w:val="Page Numbers (Top of Page)"/>
        <w:docPartUnique w:val="true"/>
      </w:docPartObj>
      <w:rPr/>
    </w:sdtPr>
    <w:sdtContent>
      <w:p>
        <w:pPr>
          <w:pStyle w:val="87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4"/>
    <w:next w:val="864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basedOn w:val="865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4"/>
    <w:next w:val="864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basedOn w:val="865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4"/>
    <w:next w:val="864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basedOn w:val="865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4"/>
    <w:next w:val="864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5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4"/>
    <w:next w:val="864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5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4"/>
    <w:next w:val="864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4"/>
    <w:next w:val="864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5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4"/>
    <w:next w:val="864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5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4"/>
    <w:next w:val="864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5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4"/>
    <w:next w:val="864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5"/>
    <w:link w:val="710"/>
    <w:uiPriority w:val="10"/>
    <w:rPr>
      <w:sz w:val="48"/>
      <w:szCs w:val="48"/>
    </w:rPr>
  </w:style>
  <w:style w:type="paragraph" w:styleId="712">
    <w:name w:val="Subtitle"/>
    <w:basedOn w:val="864"/>
    <w:next w:val="864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5"/>
    <w:link w:val="712"/>
    <w:uiPriority w:val="11"/>
    <w:rPr>
      <w:sz w:val="24"/>
      <w:szCs w:val="24"/>
    </w:rPr>
  </w:style>
  <w:style w:type="paragraph" w:styleId="714">
    <w:name w:val="Quote"/>
    <w:basedOn w:val="864"/>
    <w:next w:val="864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4"/>
    <w:next w:val="864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5"/>
    <w:link w:val="878"/>
    <w:uiPriority w:val="99"/>
  </w:style>
  <w:style w:type="character" w:styleId="719">
    <w:name w:val="Footer Char"/>
    <w:basedOn w:val="865"/>
    <w:link w:val="880"/>
    <w:uiPriority w:val="99"/>
  </w:style>
  <w:style w:type="paragraph" w:styleId="720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880"/>
    <w:uiPriority w:val="99"/>
  </w:style>
  <w:style w:type="table" w:styleId="722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1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2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3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4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5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6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5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5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paragraph" w:styleId="868" w:customStyle="1">
    <w:name w:val="ConsPlusNormal"/>
    <w:link w:val="890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9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70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71">
    <w:name w:val="Balloon Text"/>
    <w:basedOn w:val="864"/>
    <w:link w:val="87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2" w:customStyle="1">
    <w:name w:val="Текст выноски Знак"/>
    <w:basedOn w:val="865"/>
    <w:link w:val="871"/>
    <w:uiPriority w:val="99"/>
    <w:semiHidden/>
    <w:rPr>
      <w:rFonts w:ascii="Segoe UI" w:hAnsi="Segoe UI" w:cs="Segoe UI"/>
      <w:sz w:val="18"/>
      <w:szCs w:val="18"/>
    </w:rPr>
  </w:style>
  <w:style w:type="character" w:styleId="873">
    <w:name w:val="annotation reference"/>
    <w:basedOn w:val="865"/>
    <w:uiPriority w:val="99"/>
    <w:semiHidden/>
    <w:unhideWhenUsed/>
    <w:rPr>
      <w:sz w:val="16"/>
      <w:szCs w:val="16"/>
    </w:rPr>
  </w:style>
  <w:style w:type="paragraph" w:styleId="874">
    <w:name w:val="annotation text"/>
    <w:basedOn w:val="864"/>
    <w:link w:val="87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75" w:customStyle="1">
    <w:name w:val="Текст примечания Знак"/>
    <w:basedOn w:val="865"/>
    <w:link w:val="874"/>
    <w:uiPriority w:val="99"/>
    <w:semiHidden/>
    <w:rPr>
      <w:sz w:val="20"/>
      <w:szCs w:val="20"/>
    </w:rPr>
  </w:style>
  <w:style w:type="paragraph" w:styleId="876">
    <w:name w:val="annotation subject"/>
    <w:basedOn w:val="874"/>
    <w:next w:val="874"/>
    <w:link w:val="877"/>
    <w:uiPriority w:val="99"/>
    <w:semiHidden/>
    <w:unhideWhenUsed/>
    <w:rPr>
      <w:b/>
      <w:bCs/>
    </w:rPr>
  </w:style>
  <w:style w:type="character" w:styleId="877" w:customStyle="1">
    <w:name w:val="Тема примечания Знак"/>
    <w:basedOn w:val="875"/>
    <w:link w:val="876"/>
    <w:uiPriority w:val="99"/>
    <w:semiHidden/>
    <w:rPr>
      <w:b/>
      <w:bCs/>
      <w:sz w:val="20"/>
      <w:szCs w:val="20"/>
    </w:rPr>
  </w:style>
  <w:style w:type="paragraph" w:styleId="878">
    <w:name w:val="Header"/>
    <w:basedOn w:val="864"/>
    <w:link w:val="8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9" w:customStyle="1">
    <w:name w:val="Верхний колонтитул Знак"/>
    <w:basedOn w:val="865"/>
    <w:link w:val="878"/>
    <w:uiPriority w:val="99"/>
  </w:style>
  <w:style w:type="paragraph" w:styleId="880">
    <w:name w:val="Footer"/>
    <w:basedOn w:val="864"/>
    <w:link w:val="8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1" w:customStyle="1">
    <w:name w:val="Нижний колонтитул Знак"/>
    <w:basedOn w:val="865"/>
    <w:link w:val="880"/>
    <w:uiPriority w:val="99"/>
  </w:style>
  <w:style w:type="paragraph" w:styleId="882">
    <w:name w:val="List Paragraph"/>
    <w:basedOn w:val="864"/>
    <w:link w:val="886"/>
    <w:uiPriority w:val="34"/>
    <w:qFormat/>
    <w:pPr>
      <w:contextualSpacing/>
      <w:ind w:left="720"/>
    </w:pPr>
  </w:style>
  <w:style w:type="character" w:styleId="883">
    <w:name w:val="Hyperlink"/>
    <w:basedOn w:val="865"/>
    <w:uiPriority w:val="99"/>
    <w:unhideWhenUsed/>
    <w:rPr>
      <w:color w:val="0563c1" w:themeColor="hyperlink"/>
      <w:u w:val="single"/>
    </w:rPr>
  </w:style>
  <w:style w:type="table" w:styleId="884" w:customStyle="1">
    <w:name w:val="Сетка таблицы6"/>
    <w:basedOn w:val="866"/>
    <w:next w:val="88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5" w:customStyle="1">
    <w:name w:val="Сетка таблицы1"/>
    <w:basedOn w:val="866"/>
    <w:next w:val="88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6" w:customStyle="1">
    <w:name w:val="Абзац списка Знак"/>
    <w:link w:val="882"/>
    <w:uiPriority w:val="34"/>
  </w:style>
  <w:style w:type="table" w:styleId="887">
    <w:name w:val="Table Grid"/>
    <w:basedOn w:val="86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8" w:customStyle="1">
    <w:name w:val="Сетка таблицы2"/>
    <w:basedOn w:val="866"/>
    <w:next w:val="88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9" w:customStyle="1">
    <w:name w:val="Сетка таблицы61"/>
    <w:basedOn w:val="866"/>
    <w:next w:val="88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0" w:customStyle="1">
    <w:name w:val="ConsPlusNormal Знак"/>
    <w:link w:val="868"/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2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82A5-B354-4820-807F-ABD7C2C5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cp:keywords/>
  <dc:description/>
  <cp:revision>62</cp:revision>
  <dcterms:created xsi:type="dcterms:W3CDTF">2022-03-23T07:07:00Z</dcterms:created>
  <dcterms:modified xsi:type="dcterms:W3CDTF">2024-07-26T09:34:50Z</dcterms:modified>
</cp:coreProperties>
</file>