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color w:val="auto"/>
          <w:sz w:val="28"/>
          <w:szCs w:val="28"/>
          <w:highlight w:val="none"/>
        </w:rPr>
        <w:outlineLvl w:val="0"/>
      </w:pP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white"/>
        </w:rPr>
        <w:t xml:space="preserve">ОБЪЯВЛЕНИЕ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auto"/>
          <w:sz w:val="28"/>
          <w:szCs w:val="28"/>
          <w:highlight w:val="none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color w:val="auto"/>
          <w:sz w:val="28"/>
          <w:szCs w:val="28"/>
          <w:highlight w:val="white"/>
        </w:rPr>
        <w:outlineLvl w:val="0"/>
      </w:pP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auto"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color w:val="auto"/>
          <w:sz w:val="28"/>
          <w:szCs w:val="28"/>
          <w:highlight w:val="white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color w:val="auto"/>
          <w:sz w:val="28"/>
          <w:szCs w:val="28"/>
          <w:highlight w:val="white"/>
          <w14:ligatures w14:val="none"/>
        </w:rPr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о проведении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конкурсного отбора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муниципальных образований </w:t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  <w14:ligatures w14:val="none"/>
        </w:rPr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  <w14:ligatures w14:val="none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color w:val="auto"/>
          <w:sz w:val="28"/>
          <w:szCs w:val="28"/>
          <w:highlight w:val="white"/>
          <w14:ligatures w14:val="none"/>
        </w:rPr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Новосибирской области на предоставление субсидий из областного бюджета Новосибирской области для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осуществления стимулирования в виде поощрения участников профилактики и тушения ландшафтных пожаров на территории Новосибирской области</w:t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  <w14:ligatures w14:val="none"/>
        </w:rPr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  <w14:ligatures w14:val="none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ff0000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ff0000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ff0000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color w:val="auto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white"/>
        </w:rPr>
        <w:t xml:space="preserve">1.</w:t>
      </w: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white"/>
        </w:rPr>
        <w:t xml:space="preserve"> Общее положение</w:t>
      </w: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white"/>
        </w:rPr>
        <w:t xml:space="preserve">. </w:t>
      </w:r>
      <w:r>
        <w:rPr>
          <w:rFonts w:ascii="Times New Roman" w:hAnsi="Times New Roman" w:cs="Times New Roman"/>
          <w:b/>
          <w:color w:val="auto"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color w:val="auto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В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 соответствии с Порядком предоставления и распределения субсидий из областного бюджета Новосибирской области муниципальным образованиям Новосибирской области для осуществления стимулирования в виде поощрения участников профилактики и тушения ландшафтных по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жаров на территории Новосибирской области, утвержденным постановлением Правительства Новосибирской области от 03.06.2024 № 261-п (далее – порядок)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министерство жилищно-коммунального хозяйства и энергетики Новосибирской области (управление по предупреждению чрезвычайных ситуаций) проводит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конкурсный отбор муниципальных образований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Новосибирской области на предоставление субсидий из областного бюджета Новосибирской области для осуществления стимулирования в виде поощрения участников профи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лактики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 и тушения ландшафтных пожаров на территории Новосибирской области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ff0000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ff0000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ff0000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bCs/>
          <w:color w:val="auto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white"/>
        </w:rPr>
        <w:t xml:space="preserve">2. Сроки проведения конкурсного отбора</w:t>
      </w: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none"/>
        </w:rPr>
        <w:t xml:space="preserve">.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auto"/>
          <w:sz w:val="28"/>
          <w:szCs w:val="28"/>
          <w:highlight w:val="non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 w:val="0"/>
          <w:bCs w:val="0"/>
          <w:color w:val="auto"/>
        </w:rPr>
      </w:pP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highlight w:val="none"/>
        </w:rPr>
        <w:t xml:space="preserve">2.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highlight w:val="white"/>
        </w:rPr>
        <w:t xml:space="preserve">1. прием заявок от глав муниципальных образований Новосибирской области (далее – заявки) на участие в конкурсе с прилагаемыми к ним документами – с 15 июля 2024 года по 15 августа 2024 года;</w:t>
      </w:r>
      <w:r>
        <w:rPr>
          <w:rFonts w:ascii="Times New Roman" w:hAnsi="Times New Roman" w:cs="Times New Roman"/>
          <w:b w:val="0"/>
          <w:bCs w:val="0"/>
          <w:color w:val="auto"/>
        </w:rPr>
      </w:r>
      <w:r>
        <w:rPr>
          <w:rFonts w:ascii="Times New Roman" w:hAnsi="Times New Roman" w:cs="Times New Roman"/>
          <w:b w:val="0"/>
          <w:bCs w:val="0"/>
          <w:color w:val="auto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 w:val="0"/>
          <w:bCs w:val="0"/>
          <w:color w:val="auto"/>
        </w:rPr>
      </w:pP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highlight w:val="none"/>
        </w:rPr>
        <w:t xml:space="preserve">2.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highlight w:val="none"/>
        </w:rPr>
        <w:t xml:space="preserve">2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highlight w:val="white"/>
        </w:rPr>
        <w:t xml:space="preserve">. 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highlight w:val="white"/>
        </w:rPr>
        <w:t xml:space="preserve">оценка представленных на конкурс заявок, прилагаемых документов – с 16 августа 2024 года по 29 августа 2024 года;</w:t>
      </w:r>
      <w:r>
        <w:rPr>
          <w:rFonts w:ascii="Times New Roman" w:hAnsi="Times New Roman" w:cs="Times New Roman"/>
          <w:b w:val="0"/>
          <w:bCs w:val="0"/>
          <w:color w:val="auto"/>
        </w:rPr>
      </w:r>
      <w:r>
        <w:rPr>
          <w:rFonts w:ascii="Times New Roman" w:hAnsi="Times New Roman" w:cs="Times New Roman"/>
          <w:b w:val="0"/>
          <w:bCs w:val="0"/>
          <w:color w:val="auto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 w:val="0"/>
          <w:bCs w:val="0"/>
          <w:color w:val="auto"/>
        </w:rPr>
      </w:pP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highlight w:val="none"/>
        </w:rPr>
        <w:t xml:space="preserve">2.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highlight w:val="none"/>
        </w:rPr>
        <w:t xml:space="preserve">3.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highlight w:val="white"/>
        </w:rPr>
        <w:t xml:space="preserve"> 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highlight w:val="white"/>
        </w:rPr>
        <w:t xml:space="preserve">заседание комиссии по рассмотрению и оценки представленных заявок с принятием решения о предоставлении субсидии муниципальным образованиям Новосибирской области или об отказе в таком предоставлении – до 12 сентября 2024 года;</w:t>
      </w:r>
      <w:r>
        <w:rPr>
          <w:rFonts w:ascii="Times New Roman" w:hAnsi="Times New Roman" w:cs="Times New Roman"/>
          <w:b w:val="0"/>
          <w:bCs w:val="0"/>
          <w:color w:val="auto"/>
        </w:rPr>
      </w:r>
      <w:r>
        <w:rPr>
          <w:rFonts w:ascii="Times New Roman" w:hAnsi="Times New Roman" w:cs="Times New Roman"/>
          <w:b w:val="0"/>
          <w:bCs w:val="0"/>
          <w:color w:val="auto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 w:val="0"/>
          <w:bCs w:val="0"/>
          <w:color w:val="auto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highlight w:val="none"/>
        </w:rPr>
        <w:t xml:space="preserve">2.4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highlight w:val="white"/>
        </w:rPr>
        <w:t xml:space="preserve">. </w:t>
      </w:r>
      <w:r>
        <w:rPr>
          <w:rFonts w:ascii="Times New Roman" w:hAnsi="Times New Roman" w:eastAsia="Times New Roman" w:cs="Times New Roman"/>
          <w:b w:val="0"/>
          <w:bCs w:val="0"/>
          <w:color w:val="auto"/>
          <w:sz w:val="28"/>
          <w:szCs w:val="28"/>
          <w:highlight w:val="white"/>
        </w:rPr>
        <w:t xml:space="preserve">уведомление глав муниципальных образований Новосибирской области об итогах конкурса – до 18 сентября 2024 года.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  <w:highlight w:val="white"/>
        </w:rPr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bCs/>
          <w:color w:val="ff0000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b/>
          <w:bCs/>
          <w:color w:val="ff0000"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color w:val="ff0000"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color w:val="ff0000"/>
          <w:sz w:val="28"/>
          <w:szCs w:val="28"/>
          <w:highlight w:val="white"/>
        </w:rPr>
      </w:r>
    </w:p>
    <w:p>
      <w:pPr>
        <w:pStyle w:val="835"/>
        <w:ind w:left="0" w:right="0" w:firstLine="709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none"/>
        </w:rPr>
        <w:t xml:space="preserve">3</w:t>
      </w: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white"/>
        </w:rPr>
        <w:t xml:space="preserve">. Т</w:t>
      </w: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white"/>
        </w:rPr>
        <w:t xml:space="preserve">ребования к </w:t>
      </w: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white"/>
        </w:rPr>
        <w:t xml:space="preserve">муниципальным образования</w:t>
      </w: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white"/>
        </w:rPr>
        <w:t xml:space="preserve">м, перечень документов, и порядок представления заявок для участия в конкурсном отборе</w:t>
      </w: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none"/>
        </w:rPr>
        <w:t xml:space="preserve">.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color w:val="auto"/>
          <w:sz w:val="28"/>
          <w:szCs w:val="28"/>
          <w:highlight w:val="white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3.1. Муниципальные образования должны соответ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ствовать следующим требованиям: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1) на территории муниципального образования находятся населенные пункты, включенные в Перечень населенных пунктов Новосибирской области, территория вокруг которых является наиболее горимой (далее – Перечень);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2) на территории муниципального образования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обеспечено функционирование органов управления и сил единой государственной системы предупреждения и ликвидации чрезвычайных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ситуаций муниципального звена в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режиме функционирования «повышенной готовности» или «чрезвычайной ситуации», установленное нормативным правовым актом органа местного самоуправления на террито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рии муниципального образования;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contextualSpacing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3) решением комиссии по предупреждению и ликвидации чрезвычайных ситуаций и обеспечения пожарной безопасности муниципального образовани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я Новосибирской области (далее –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КЧС и ОПБ МО) до начала особого противопожарного режима на очередной год определены патрульные, патрульно-маневренные, маневренные группы, их состав;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contextualSpacing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4) решением КЧС и ОПБ МО установлен муниципальный уровень реагирования на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ландшафтные (природные) пожары;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contextualSpacing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5) наличие расходных обязательств муниципального образования Новосибирской области, для софинансирования которых предоставляются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субсидии с учетом предельного уровня софинансирования, установленного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распоряжением Правительства Новосибирской области об установлении предельных уровней софинансировани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я на очередной финансовый год и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плановый период, для соответствующего му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ниципального образования (далее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– распоряжение об установлении предельных уровней софинансирования)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3.2. 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 Для участия в конкурсном отборе глава муниципального образования, соответствующего требованиям, указанным в пункте 3.1,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формирует и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подает одну заявку по форме, утвержденной приказом министерства, содержащую в том числе информацию по населенным пунктам данного муниципального образования, указанным в Перечне.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3.3. 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Для участия в конкурсном отборе муниципальные образования представляют в министерство следующие документы: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1) заявку о предоставлении субсидии по форме установленной в приказе министерства жилищно – коммунального хозяйства и энергетики Новосибирской области от 15.07.202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4 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№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157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-НПА «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б объявлении конкурсного отбора среди муниципальных образований Новосибирской области по предоставлению и распределению субсидий из областного бюджета Новосибирской области муниципальным образованиям Новосибирской области для осуществления стимулирования 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виде поощрения участников профилактики и тушения ландшафтных пожаров на территории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»;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2) нормативные правовые акты муниципальных образований, регулирующие функцио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нирование органов управления и сил единой государственной системы предупреждения и ликвидации чрезвычайных ситуаций муниципального звена в режиме функционирования «повышенной готовности» или «чрезвычайной ситуации» на территории муниципального образования;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tabs>
          <w:tab w:val="left" w:pos="6521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3)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решение КЧС и ОПБ МО об установлении муниципального уровня реагирования на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ландшафтные (природные) пожары;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tabs>
          <w:tab w:val="left" w:pos="6521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4) расчет потребности бюджетных ассигнований на предоставление субсидии согласно форме, утвержденной приказом министерства;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5) решение КЧС и ОПБ МО об определении патрульных, патрульно-маневренных,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маневренных группы, их составе.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3.4. 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Заявка и документы, указанные в пункте 3.3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представляются главами муниципальных образований посредством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системы электронного документооборота и делопроизводства Правительства Новосибирской области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 министерство до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окончания приема заявок.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cs="Times New Roman"/>
          <w:color w:val="ff0000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ff0000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ff0000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ff0000"/>
          <w:sz w:val="28"/>
          <w:szCs w:val="28"/>
          <w:highlight w:val="white"/>
        </w:rPr>
      </w:r>
    </w:p>
    <w:p>
      <w:pPr>
        <w:pStyle w:val="835"/>
        <w:ind w:left="0" w:right="0" w:firstLine="709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none"/>
        </w:rPr>
        <w:t xml:space="preserve">4</w:t>
      </w: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white"/>
        </w:rPr>
        <w:t xml:space="preserve">. Критерии</w:t>
      </w: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white"/>
        </w:rPr>
        <w:t xml:space="preserve"> конкурсного отбор</w:t>
      </w: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none"/>
        </w:rPr>
        <w:t xml:space="preserve">а</w:t>
      </w: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none"/>
        </w:rPr>
        <w:t xml:space="preserve">.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color w:val="auto"/>
          <w:sz w:val="28"/>
          <w:szCs w:val="28"/>
          <w:highlight w:val="white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4.1. Критерием конкурсного отбора является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количество термических точек и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уровень их снижения на территории муниципального образования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в период действия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особого противопожарного режима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исходя из показателей расчета.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4.2.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 Расчет потребности бюджетных ассигнований на предоставлени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субсидий осуществляется с учетом следующих показателей: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1)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 снижение количества термических точек на наиболее горимой территории вокруг населенных пунктов, указанных в Перечне, в период действия особого противопожарного режима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составило от 51–100% в сравнении с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прошлым годом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убсидии предоставляются исходя из расчета: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) при отсутствии термических точек в течении суток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 размере 6 000,0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рубл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на один населенный пункт, указанный в Перечне, в сутки;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б) при возникновении за сутки до 5 терм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ических точек и их ликвидации в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течении суток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 размере 3 000,0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рубл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на один населенный пункт, указанный 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Перечне, в сутки;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в) при возникновении за сутки более 5 термических точек или ликвидации термических точек более суток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– субсидии не предоставляются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2)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 снижение количества термических точек на наиболее горимой территории вокруг населенных пунктов, указанных в Перечне, в период действия особого противопожарного режима составило от 21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–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50% в сравнении с прошлым годом. С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убсидии предоставляются исходя из расчета: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а) при отсутствии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термических точек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 течении суток – в размере 3 000,0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рубл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на один населенный пункт,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указанный в Перечне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в сутки;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б) при возникновении за сутки до 5 термических точек и их ликвидации 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чении суток – в размере 1 500,0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рубл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на один населенный пункт,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указанный 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Перечне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в сутки;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в) при возникновении за сутки более 5 термических точек или ликвидации термических точек более суток – субсидии не предоставляются;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3) снижение количества термических точек на наиболее горимой территории вокруг населенны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х пунктов, указанных в Перечне,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в период действия особого противо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пожарного режима составило от 0–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20% или произошло увеличение их количества в сравнени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и с прошлым годом – субсидии не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предоставляются.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Полученная при расчете сумма умножается на уровень софинансирования, предусмотренный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распоряжением об установлении предельных уровней софинансирования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pacing w:val="-2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4.3.</w:t>
      </w:r>
      <w:r>
        <w:rPr>
          <w:rFonts w:ascii="Times New Roman" w:hAnsi="Times New Roman" w:eastAsia="Times New Roman" w:cs="Times New Roman"/>
          <w:spacing w:val="-2"/>
          <w:sz w:val="28"/>
          <w:szCs w:val="28"/>
        </w:rPr>
        <w:t xml:space="preserve"> Основаниями для отклонения заявки на стадии проверки заявок являются:</w:t>
      </w:r>
      <w:r>
        <w:rPr>
          <w:rFonts w:ascii="Times New Roman" w:hAnsi="Times New Roman" w:cs="Times New Roman"/>
          <w:spacing w:val="-2"/>
          <w:sz w:val="28"/>
          <w:szCs w:val="28"/>
          <w:highlight w:val="none"/>
        </w:rPr>
      </w:r>
      <w:r>
        <w:rPr>
          <w:rFonts w:ascii="Times New Roman" w:hAnsi="Times New Roman" w:cs="Times New Roman"/>
          <w:spacing w:val="-2"/>
          <w:sz w:val="28"/>
          <w:szCs w:val="28"/>
          <w:highlight w:val="none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1) несоответствие представленных главами муниципальных образований заявок, документов требованиям, установленным пунктами 3.2, 3.3;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2) несоответствие муниципального образования требованиям, установленным в пункте 3.1;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3) нарушение сроков подачи заявки и документов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При наличии оснований для отклонения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заявки министерство в течение пяти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рабочих дней с даты подачи заявки направляет посредством СЭДД письмо главе муниципального образования об отклонении заявки.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После отклонения заявки глава муниципального образования в случае устранения замечаний вправе повторно подать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заявку.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cs="Times New Roman"/>
          <w:color w:val="ff0000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ff0000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ff0000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ff0000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cs="Times New Roman"/>
          <w:b/>
          <w:color w:val="auto"/>
          <w:sz w:val="28"/>
          <w:szCs w:val="28"/>
          <w:highlight w:val="white"/>
          <w:shd w:val="clear" w:color="auto" w:fill="ffffff"/>
        </w:rPr>
      </w:pP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none"/>
          <w:shd w:val="clear" w:color="auto" w:fill="ffffff"/>
        </w:rPr>
        <w:t xml:space="preserve">5</w:t>
      </w: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white"/>
          <w:shd w:val="clear" w:color="auto" w:fill="ffffff"/>
        </w:rPr>
        <w:t xml:space="preserve">. Срок, в течении которого победитель отбора должен подписать соглашение о предоставлении субсидии.</w:t>
      </w:r>
      <w:r>
        <w:rPr>
          <w:rFonts w:ascii="Times New Roman" w:hAnsi="Times New Roman" w:cs="Times New Roman"/>
          <w:b/>
          <w:color w:val="auto"/>
          <w:sz w:val="28"/>
          <w:szCs w:val="28"/>
          <w:highlight w:val="white"/>
          <w:shd w:val="clear" w:color="auto" w:fill="ffffff"/>
        </w:rPr>
      </w:r>
      <w:r>
        <w:rPr>
          <w:rFonts w:ascii="Times New Roman" w:hAnsi="Times New Roman" w:cs="Times New Roman"/>
          <w:b/>
          <w:color w:val="auto"/>
          <w:sz w:val="28"/>
          <w:szCs w:val="28"/>
          <w:highlight w:val="white"/>
          <w:shd w:val="clear" w:color="auto" w:fill="ffffff"/>
        </w:rPr>
      </w:r>
    </w:p>
    <w:p>
      <w:pPr>
        <w:pStyle w:val="836"/>
        <w:ind w:left="0" w:firstLine="709"/>
        <w:jc w:val="both"/>
        <w:spacing w:after="0" w:line="240" w:lineRule="auto"/>
        <w:widowControl w:val="off"/>
        <w:rPr>
          <w:rFonts w:ascii="Times New Roman" w:hAnsi="Times New Roman" w:cs="Times New Roman"/>
          <w:color w:val="auto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Соглашение о предоставлении субсидии заключается в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двухмесячный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срок после доведения лимита финансовых средств до министерства и принятия ре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шения о предоставлении субсидии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 по типовой форме, ут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вержденной приказом министерства финансов и налоговой политики Новосибирской области от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09.01.2020 № 1-НПА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«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Об утверждении типовой формы соглашения о предоставлении субсидии из областного бюджета Новосибирской области бюджету муниципального образования Новосибирской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области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». </w:t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Соглашение должно содержать в себ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е положения, указанные в пункте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8 Правил формирования, предоставления и распределения субсидий из областного бюджета Новосибирской области бюджетам муниципальных образований Новосибирской области, установленных постановлением Правител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ьства Новосибирской области от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03.03.2020 №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40-п «О Правилах формирования, предоставления и распределения субсидий из областного бюджета Новоси</w:t>
      </w:r>
      <w:r>
        <w:rPr>
          <w:rFonts w:ascii="Times New Roman" w:hAnsi="Times New Roman" w:eastAsia="Times New Roman" w:cs="Times New Roman"/>
          <w:color w:val="auto"/>
          <w:sz w:val="28"/>
          <w:szCs w:val="28"/>
        </w:rPr>
        <w:t xml:space="preserve">бирской области бюджетам муниципальных образований Новосибирской области».</w:t>
      </w:r>
      <w:r>
        <w:rPr>
          <w:rFonts w:ascii="Times New Roman" w:hAnsi="Times New Roman" w:cs="Times New Roman"/>
          <w:color w:val="auto"/>
          <w:sz w:val="28"/>
          <w:szCs w:val="28"/>
        </w:rPr>
      </w:r>
      <w:r>
        <w:rPr>
          <w:rFonts w:ascii="Times New Roman" w:hAnsi="Times New Roman" w:cs="Times New Roman"/>
          <w:color w:val="auto"/>
          <w:sz w:val="28"/>
          <w:szCs w:val="28"/>
        </w:rPr>
      </w:r>
    </w:p>
    <w:p>
      <w:pPr>
        <w:pStyle w:val="836"/>
        <w:ind w:left="0" w:firstLine="709"/>
        <w:jc w:val="both"/>
        <w:spacing w:after="0" w:line="240" w:lineRule="auto"/>
        <w:widowControl w:val="off"/>
        <w:rPr>
          <w:color w:val="auto"/>
        </w:rPr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Муниципальное образование Новосибирской области подписывает и направляет соглашение в министерство не позднее пяти рабочих дней со дня поступления проекта соглашения в муниципальное образование Новосибирской области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.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</w:r>
      <w:r>
        <w:rPr>
          <w:color w:val="auto"/>
        </w:rPr>
      </w:r>
    </w:p>
    <w:p>
      <w:pPr>
        <w:pStyle w:val="836"/>
        <w:ind w:left="0" w:firstLine="709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Подписанный главой муниципального образования Новосибирской области проект соглашения в течение 10 рабочих дней подписывается уполномоченным лицом министерства.</w:t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</w:r>
    </w:p>
    <w:p>
      <w:pPr>
        <w:pStyle w:val="836"/>
        <w:ind w:left="0" w:firstLine="709"/>
        <w:jc w:val="both"/>
        <w:spacing w:after="0" w:line="240" w:lineRule="auto"/>
        <w:widowControl w:val="off"/>
        <w:rPr>
          <w:rFonts w:ascii="Times New Roman" w:hAnsi="Times New Roman" w:cs="Times New Roman"/>
          <w:b/>
          <w:bCs/>
          <w:color w:val="auto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auto"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bCs/>
          <w:color w:val="auto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cs="Times New Roman"/>
          <w:b/>
          <w:color w:val="auto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none"/>
        </w:rPr>
        <w:t xml:space="preserve">6</w:t>
      </w:r>
      <w:r>
        <w:rPr>
          <w:rFonts w:ascii="Times New Roman" w:hAnsi="Times New Roman" w:eastAsia="Times New Roman" w:cs="Times New Roman"/>
          <w:b/>
          <w:color w:val="auto"/>
          <w:sz w:val="28"/>
          <w:szCs w:val="28"/>
          <w:highlight w:val="white"/>
        </w:rPr>
        <w:t xml:space="preserve">. Контактные данные:</w:t>
      </w:r>
      <w:r>
        <w:rPr>
          <w:rFonts w:ascii="Times New Roman" w:hAnsi="Times New Roman" w:cs="Times New Roman"/>
          <w:b/>
          <w:color w:val="auto"/>
          <w:sz w:val="28"/>
          <w:szCs w:val="28"/>
          <w:highlight w:val="white"/>
        </w:rPr>
      </w:r>
      <w:r>
        <w:rPr>
          <w:rFonts w:ascii="Times New Roman" w:hAnsi="Times New Roman" w:cs="Times New Roman"/>
          <w:b/>
          <w:color w:val="auto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cs="Times New Roman"/>
          <w:color w:val="auto"/>
          <w:sz w:val="28"/>
          <w:szCs w:val="28"/>
          <w:highlight w:val="white"/>
          <w:u w:val="none"/>
        </w:rPr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1) заместитель министра – начальник управлени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  <w:u w:val="none"/>
        </w:rPr>
        <w:t xml:space="preserve">я по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предупреждения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  <w:u w:val="none"/>
        </w:rPr>
        <w:t xml:space="preserve">чрезвычайных ситуаций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  <w:u w:val="none"/>
        </w:rPr>
        <w:t xml:space="preserve">министерства жилищно-коммунального хозяйства и энергетики Новосибирской области – Рахманов Степан Александрович (8-383-223-01-05, </w:t>
      </w:r>
      <w:hyperlink r:id="rId8" w:tooltip="mailto:rsa@nso.ru" w:history="1">
        <w:r>
          <w:rPr>
            <w:rStyle w:val="834"/>
            <w:rFonts w:ascii="Times New Roman" w:hAnsi="Times New Roman" w:eastAsia="Times New Roman" w:cs="Times New Roman"/>
            <w:color w:val="auto"/>
            <w:sz w:val="28"/>
            <w:szCs w:val="28"/>
            <w:highlight w:val="white"/>
            <w:u w:val="none"/>
            <w:lang w:val="en-US"/>
          </w:rPr>
          <w:t xml:space="preserve">rsa</w:t>
        </w:r>
        <w:r>
          <w:rPr>
            <w:rStyle w:val="834"/>
            <w:rFonts w:ascii="Times New Roman" w:hAnsi="Times New Roman" w:eastAsia="Times New Roman" w:cs="Times New Roman"/>
            <w:color w:val="auto"/>
            <w:sz w:val="28"/>
            <w:szCs w:val="28"/>
            <w:highlight w:val="white"/>
            <w:u w:val="none"/>
          </w:rPr>
          <w:t xml:space="preserve">@</w:t>
        </w:r>
        <w:r>
          <w:rPr>
            <w:rStyle w:val="834"/>
            <w:rFonts w:ascii="Times New Roman" w:hAnsi="Times New Roman" w:eastAsia="Times New Roman" w:cs="Times New Roman"/>
            <w:color w:val="auto"/>
            <w:sz w:val="28"/>
            <w:szCs w:val="28"/>
            <w:highlight w:val="white"/>
            <w:u w:val="none"/>
            <w:lang w:val="en-US"/>
          </w:rPr>
          <w:t xml:space="preserve">nso</w:t>
        </w:r>
        <w:r>
          <w:rPr>
            <w:rStyle w:val="834"/>
            <w:rFonts w:ascii="Times New Roman" w:hAnsi="Times New Roman" w:eastAsia="Times New Roman" w:cs="Times New Roman"/>
            <w:color w:val="auto"/>
            <w:sz w:val="28"/>
            <w:szCs w:val="28"/>
            <w:highlight w:val="white"/>
            <w:u w:val="none"/>
          </w:rPr>
          <w:t xml:space="preserve">.</w:t>
        </w:r>
        <w:r>
          <w:rPr>
            <w:rStyle w:val="834"/>
            <w:rFonts w:ascii="Times New Roman" w:hAnsi="Times New Roman" w:eastAsia="Times New Roman" w:cs="Times New Roman"/>
            <w:color w:val="auto"/>
            <w:sz w:val="28"/>
            <w:szCs w:val="28"/>
            <w:highlight w:val="white"/>
            <w:u w:val="none"/>
            <w:lang w:val="en-US"/>
          </w:rPr>
          <w:t xml:space="preserve">ru</w:t>
        </w:r>
      </w:hyperlink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  <w:u w:val="none"/>
        </w:rPr>
        <w:t xml:space="preserve">);</w:t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  <w:u w:val="none"/>
        </w:rPr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  <w:u w:val="none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cs="Times New Roman"/>
          <w:color w:val="auto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начальник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отдела предупреждения ЧС и сопровождения программ управления по предупреждению чрезвычайных ситуаций министерства жилищно-коммунального хозяйства и энергетики Новосибирской области –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Фёдоров Алексей Анасович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(8-383-231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-14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-48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,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  <w:u w:val="single"/>
        </w:rPr>
        <w:t xml:space="preserve">a</w:t>
      </w:r>
      <w:hyperlink r:id="rId9" w:tooltip="mailto:mmn@nso.ru" w:history="1">
        <w:r>
          <w:rPr>
            <w:rStyle w:val="834"/>
            <w:rFonts w:ascii="Times New Roman" w:hAnsi="Times New Roman" w:eastAsia="Times New Roman" w:cs="Times New Roman"/>
            <w:color w:val="auto"/>
            <w:sz w:val="28"/>
            <w:szCs w:val="28"/>
            <w:highlight w:val="white"/>
            <w:lang w:val="en-US"/>
          </w:rPr>
          <w:t xml:space="preserve">af</w:t>
        </w:r>
        <w:r>
          <w:rPr>
            <w:rStyle w:val="834"/>
            <w:rFonts w:ascii="Times New Roman" w:hAnsi="Times New Roman" w:eastAsia="Times New Roman" w:cs="Times New Roman"/>
            <w:color w:val="auto"/>
            <w:sz w:val="28"/>
            <w:szCs w:val="28"/>
            <w:highlight w:val="white"/>
          </w:rPr>
          <w:t xml:space="preserve">@</w:t>
        </w:r>
        <w:r>
          <w:rPr>
            <w:rStyle w:val="834"/>
            <w:rFonts w:ascii="Times New Roman" w:hAnsi="Times New Roman" w:eastAsia="Times New Roman" w:cs="Times New Roman"/>
            <w:color w:val="auto"/>
            <w:sz w:val="28"/>
            <w:szCs w:val="28"/>
            <w:highlight w:val="white"/>
            <w:lang w:val="en-US"/>
          </w:rPr>
          <w:t xml:space="preserve">nso</w:t>
        </w:r>
        <w:r>
          <w:rPr>
            <w:rStyle w:val="834"/>
            <w:rFonts w:ascii="Times New Roman" w:hAnsi="Times New Roman" w:eastAsia="Times New Roman" w:cs="Times New Roman"/>
            <w:color w:val="auto"/>
            <w:sz w:val="28"/>
            <w:szCs w:val="28"/>
            <w:highlight w:val="white"/>
          </w:rPr>
          <w:t xml:space="preserve">.</w:t>
        </w:r>
        <w:r>
          <w:rPr>
            <w:rStyle w:val="834"/>
            <w:rFonts w:ascii="Times New Roman" w:hAnsi="Times New Roman" w:eastAsia="Times New Roman" w:cs="Times New Roman"/>
            <w:color w:val="auto"/>
            <w:sz w:val="28"/>
            <w:szCs w:val="28"/>
            <w:highlight w:val="white"/>
            <w:lang w:val="en-US"/>
          </w:rPr>
          <w:t xml:space="preserve">ru</w:t>
        </w:r>
      </w:hyperlink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)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.</w:t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cs="Times New Roman"/>
          <w:color w:val="auto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консультант отдела предупреждения ЧС и сопровождения программ управления по предупреждению чрезвычайных ситуаций министерства жилищно-коммунального хозяйства и энергетики Новосибирской области –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Дударик Ольга Анатольевна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 (8-383-2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27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-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05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-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66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, </w:t>
      </w:r>
      <w:hyperlink r:id="rId10" w:tooltip="mailto:mmn@nso.ru" w:history="1">
        <w:r>
          <w:rPr>
            <w:rStyle w:val="834"/>
            <w:rFonts w:ascii="Times New Roman" w:hAnsi="Times New Roman" w:eastAsia="Times New Roman" w:cs="Times New Roman"/>
            <w:color w:val="auto"/>
            <w:sz w:val="28"/>
            <w:szCs w:val="28"/>
            <w:highlight w:val="white"/>
            <w:lang w:val="en-US"/>
          </w:rPr>
          <w:t xml:space="preserve">duoa</w:t>
        </w:r>
        <w:r>
          <w:rPr>
            <w:rStyle w:val="834"/>
            <w:rFonts w:ascii="Times New Roman" w:hAnsi="Times New Roman" w:eastAsia="Times New Roman" w:cs="Times New Roman"/>
            <w:color w:val="auto"/>
            <w:sz w:val="28"/>
            <w:szCs w:val="28"/>
            <w:highlight w:val="white"/>
          </w:rPr>
          <w:t xml:space="preserve">@</w:t>
        </w:r>
        <w:r>
          <w:rPr>
            <w:rStyle w:val="834"/>
            <w:rFonts w:ascii="Times New Roman" w:hAnsi="Times New Roman" w:eastAsia="Times New Roman" w:cs="Times New Roman"/>
            <w:color w:val="auto"/>
            <w:sz w:val="28"/>
            <w:szCs w:val="28"/>
            <w:highlight w:val="white"/>
            <w:lang w:val="en-US"/>
          </w:rPr>
          <w:t xml:space="preserve">nso</w:t>
        </w:r>
        <w:r>
          <w:rPr>
            <w:rStyle w:val="834"/>
            <w:rFonts w:ascii="Times New Roman" w:hAnsi="Times New Roman" w:eastAsia="Times New Roman" w:cs="Times New Roman"/>
            <w:color w:val="auto"/>
            <w:sz w:val="28"/>
            <w:szCs w:val="28"/>
            <w:highlight w:val="white"/>
          </w:rPr>
          <w:t xml:space="preserve">.</w:t>
        </w:r>
        <w:r>
          <w:rPr>
            <w:rStyle w:val="834"/>
            <w:rFonts w:ascii="Times New Roman" w:hAnsi="Times New Roman" w:eastAsia="Times New Roman" w:cs="Times New Roman"/>
            <w:color w:val="auto"/>
            <w:sz w:val="28"/>
            <w:szCs w:val="28"/>
            <w:highlight w:val="white"/>
            <w:lang w:val="en-US"/>
          </w:rPr>
          <w:t xml:space="preserve">ru</w:t>
        </w:r>
      </w:hyperlink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)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.</w:t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Times New Roman" w:hAnsi="Times New Roman" w:cs="Times New Roman"/>
          <w:color w:val="auto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</w:rPr>
      </w:r>
    </w:p>
    <w:sectPr>
      <w:footnotePr/>
      <w:endnotePr/>
      <w:type w:val="nextPage"/>
      <w:pgSz w:w="11906" w:h="16838" w:orient="portrait"/>
      <w:pgMar w:top="1134" w:right="567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Times New Roman">
    <w:panose1 w:val="02020603050405020304"/>
  </w:font>
  <w:font w:name="Courier New">
    <w:panose1 w:val="020703090202050204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29"/>
    <w:next w:val="829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0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29"/>
    <w:next w:val="829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0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29"/>
    <w:next w:val="829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0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29"/>
    <w:next w:val="829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0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29"/>
    <w:next w:val="829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0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29"/>
    <w:next w:val="829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0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29"/>
    <w:next w:val="829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0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29"/>
    <w:next w:val="829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0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29"/>
    <w:next w:val="829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0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No Spacing"/>
    <w:uiPriority w:val="1"/>
    <w:qFormat/>
    <w:pPr>
      <w:spacing w:before="0" w:after="0" w:line="240" w:lineRule="auto"/>
    </w:pPr>
  </w:style>
  <w:style w:type="paragraph" w:styleId="673">
    <w:name w:val="Title"/>
    <w:basedOn w:val="829"/>
    <w:next w:val="829"/>
    <w:link w:val="67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4">
    <w:name w:val="Title Char"/>
    <w:basedOn w:val="830"/>
    <w:link w:val="673"/>
    <w:uiPriority w:val="10"/>
    <w:rPr>
      <w:sz w:val="48"/>
      <w:szCs w:val="48"/>
    </w:rPr>
  </w:style>
  <w:style w:type="paragraph" w:styleId="675">
    <w:name w:val="Subtitle"/>
    <w:basedOn w:val="829"/>
    <w:next w:val="829"/>
    <w:link w:val="676"/>
    <w:uiPriority w:val="11"/>
    <w:qFormat/>
    <w:pPr>
      <w:spacing w:before="200" w:after="200"/>
    </w:pPr>
    <w:rPr>
      <w:sz w:val="24"/>
      <w:szCs w:val="24"/>
    </w:rPr>
  </w:style>
  <w:style w:type="character" w:styleId="676">
    <w:name w:val="Subtitle Char"/>
    <w:basedOn w:val="830"/>
    <w:link w:val="675"/>
    <w:uiPriority w:val="11"/>
    <w:rPr>
      <w:sz w:val="24"/>
      <w:szCs w:val="24"/>
    </w:rPr>
  </w:style>
  <w:style w:type="paragraph" w:styleId="677">
    <w:name w:val="Quote"/>
    <w:basedOn w:val="829"/>
    <w:next w:val="829"/>
    <w:link w:val="678"/>
    <w:uiPriority w:val="29"/>
    <w:qFormat/>
    <w:pPr>
      <w:ind w:left="720" w:right="720"/>
    </w:pPr>
    <w:rPr>
      <w:i/>
    </w:rPr>
  </w:style>
  <w:style w:type="character" w:styleId="678">
    <w:name w:val="Quote Char"/>
    <w:link w:val="677"/>
    <w:uiPriority w:val="29"/>
    <w:rPr>
      <w:i/>
    </w:rPr>
  </w:style>
  <w:style w:type="paragraph" w:styleId="679">
    <w:name w:val="Intense Quote"/>
    <w:basedOn w:val="829"/>
    <w:next w:val="829"/>
    <w:link w:val="68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0">
    <w:name w:val="Intense Quote Char"/>
    <w:link w:val="679"/>
    <w:uiPriority w:val="30"/>
    <w:rPr>
      <w:i/>
    </w:rPr>
  </w:style>
  <w:style w:type="paragraph" w:styleId="681">
    <w:name w:val="Header"/>
    <w:basedOn w:val="829"/>
    <w:link w:val="68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2">
    <w:name w:val="Header Char"/>
    <w:basedOn w:val="830"/>
    <w:link w:val="681"/>
    <w:uiPriority w:val="99"/>
  </w:style>
  <w:style w:type="paragraph" w:styleId="683">
    <w:name w:val="Footer"/>
    <w:basedOn w:val="829"/>
    <w:link w:val="68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Footer Char"/>
    <w:basedOn w:val="830"/>
    <w:link w:val="683"/>
    <w:uiPriority w:val="99"/>
  </w:style>
  <w:style w:type="paragraph" w:styleId="685">
    <w:name w:val="Caption"/>
    <w:basedOn w:val="829"/>
    <w:next w:val="82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6">
    <w:name w:val="Caption Char"/>
    <w:basedOn w:val="685"/>
    <w:link w:val="683"/>
    <w:uiPriority w:val="99"/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2">
    <w:name w:val="footnote text"/>
    <w:basedOn w:val="829"/>
    <w:link w:val="813"/>
    <w:uiPriority w:val="99"/>
    <w:semiHidden/>
    <w:unhideWhenUsed/>
    <w:pPr>
      <w:spacing w:after="40" w:line="240" w:lineRule="auto"/>
    </w:pPr>
    <w:rPr>
      <w:sz w:val="18"/>
    </w:rPr>
  </w:style>
  <w:style w:type="character" w:styleId="813">
    <w:name w:val="Footnote Text Char"/>
    <w:link w:val="812"/>
    <w:uiPriority w:val="99"/>
    <w:rPr>
      <w:sz w:val="18"/>
    </w:rPr>
  </w:style>
  <w:style w:type="character" w:styleId="814">
    <w:name w:val="footnote reference"/>
    <w:basedOn w:val="830"/>
    <w:uiPriority w:val="99"/>
    <w:unhideWhenUsed/>
    <w:rPr>
      <w:vertAlign w:val="superscript"/>
    </w:rPr>
  </w:style>
  <w:style w:type="paragraph" w:styleId="815">
    <w:name w:val="endnote text"/>
    <w:basedOn w:val="829"/>
    <w:link w:val="816"/>
    <w:uiPriority w:val="99"/>
    <w:semiHidden/>
    <w:unhideWhenUsed/>
    <w:pPr>
      <w:spacing w:after="0" w:line="240" w:lineRule="auto"/>
    </w:pPr>
    <w:rPr>
      <w:sz w:val="20"/>
    </w:rPr>
  </w:style>
  <w:style w:type="character" w:styleId="816">
    <w:name w:val="Endnote Text Char"/>
    <w:link w:val="815"/>
    <w:uiPriority w:val="99"/>
    <w:rPr>
      <w:sz w:val="20"/>
    </w:rPr>
  </w:style>
  <w:style w:type="character" w:styleId="817">
    <w:name w:val="endnote reference"/>
    <w:basedOn w:val="830"/>
    <w:uiPriority w:val="99"/>
    <w:semiHidden/>
    <w:unhideWhenUsed/>
    <w:rPr>
      <w:vertAlign w:val="superscript"/>
    </w:rPr>
  </w:style>
  <w:style w:type="paragraph" w:styleId="818">
    <w:name w:val="toc 1"/>
    <w:basedOn w:val="829"/>
    <w:next w:val="829"/>
    <w:uiPriority w:val="39"/>
    <w:unhideWhenUsed/>
    <w:pPr>
      <w:ind w:left="0" w:right="0" w:firstLine="0"/>
      <w:spacing w:after="57"/>
    </w:pPr>
  </w:style>
  <w:style w:type="paragraph" w:styleId="819">
    <w:name w:val="toc 2"/>
    <w:basedOn w:val="829"/>
    <w:next w:val="829"/>
    <w:uiPriority w:val="39"/>
    <w:unhideWhenUsed/>
    <w:pPr>
      <w:ind w:left="283" w:right="0" w:firstLine="0"/>
      <w:spacing w:after="57"/>
    </w:pPr>
  </w:style>
  <w:style w:type="paragraph" w:styleId="820">
    <w:name w:val="toc 3"/>
    <w:basedOn w:val="829"/>
    <w:next w:val="829"/>
    <w:uiPriority w:val="39"/>
    <w:unhideWhenUsed/>
    <w:pPr>
      <w:ind w:left="567" w:right="0" w:firstLine="0"/>
      <w:spacing w:after="57"/>
    </w:pPr>
  </w:style>
  <w:style w:type="paragraph" w:styleId="821">
    <w:name w:val="toc 4"/>
    <w:basedOn w:val="829"/>
    <w:next w:val="829"/>
    <w:uiPriority w:val="39"/>
    <w:unhideWhenUsed/>
    <w:pPr>
      <w:ind w:left="850" w:right="0" w:firstLine="0"/>
      <w:spacing w:after="57"/>
    </w:pPr>
  </w:style>
  <w:style w:type="paragraph" w:styleId="822">
    <w:name w:val="toc 5"/>
    <w:basedOn w:val="829"/>
    <w:next w:val="829"/>
    <w:uiPriority w:val="39"/>
    <w:unhideWhenUsed/>
    <w:pPr>
      <w:ind w:left="1134" w:right="0" w:firstLine="0"/>
      <w:spacing w:after="57"/>
    </w:pPr>
  </w:style>
  <w:style w:type="paragraph" w:styleId="823">
    <w:name w:val="toc 6"/>
    <w:basedOn w:val="829"/>
    <w:next w:val="829"/>
    <w:uiPriority w:val="39"/>
    <w:unhideWhenUsed/>
    <w:pPr>
      <w:ind w:left="1417" w:right="0" w:firstLine="0"/>
      <w:spacing w:after="57"/>
    </w:pPr>
  </w:style>
  <w:style w:type="paragraph" w:styleId="824">
    <w:name w:val="toc 7"/>
    <w:basedOn w:val="829"/>
    <w:next w:val="829"/>
    <w:uiPriority w:val="39"/>
    <w:unhideWhenUsed/>
    <w:pPr>
      <w:ind w:left="1701" w:right="0" w:firstLine="0"/>
      <w:spacing w:after="57"/>
    </w:pPr>
  </w:style>
  <w:style w:type="paragraph" w:styleId="825">
    <w:name w:val="toc 8"/>
    <w:basedOn w:val="829"/>
    <w:next w:val="829"/>
    <w:uiPriority w:val="39"/>
    <w:unhideWhenUsed/>
    <w:pPr>
      <w:ind w:left="1984" w:right="0" w:firstLine="0"/>
      <w:spacing w:after="57"/>
    </w:pPr>
  </w:style>
  <w:style w:type="paragraph" w:styleId="826">
    <w:name w:val="toc 9"/>
    <w:basedOn w:val="829"/>
    <w:next w:val="829"/>
    <w:uiPriority w:val="39"/>
    <w:unhideWhenUsed/>
    <w:pPr>
      <w:ind w:left="2268" w:right="0" w:firstLine="0"/>
      <w:spacing w:after="57"/>
    </w:pPr>
  </w:style>
  <w:style w:type="paragraph" w:styleId="827">
    <w:name w:val="TOC Heading"/>
    <w:uiPriority w:val="39"/>
    <w:unhideWhenUsed/>
  </w:style>
  <w:style w:type="paragraph" w:styleId="828">
    <w:name w:val="table of figures"/>
    <w:basedOn w:val="829"/>
    <w:next w:val="829"/>
    <w:uiPriority w:val="99"/>
    <w:unhideWhenUsed/>
    <w:pPr>
      <w:spacing w:after="0" w:afterAutospacing="0"/>
    </w:pPr>
  </w:style>
  <w:style w:type="paragraph" w:styleId="829" w:default="1">
    <w:name w:val="Normal"/>
    <w:qFormat/>
  </w:style>
  <w:style w:type="character" w:styleId="830" w:default="1">
    <w:name w:val="Default Paragraph Font"/>
    <w:uiPriority w:val="1"/>
    <w:semiHidden/>
    <w:unhideWhenUsed/>
  </w:style>
  <w:style w:type="table" w:styleId="831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table" w:styleId="833">
    <w:name w:val="Table Grid"/>
    <w:basedOn w:val="831"/>
    <w:uiPriority w:val="3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character" w:styleId="834">
    <w:name w:val="Hyperlink"/>
    <w:basedOn w:val="830"/>
    <w:uiPriority w:val="99"/>
    <w:unhideWhenUsed/>
    <w:rPr>
      <w:color w:val="0563c1" w:themeColor="hyperlink"/>
      <w:u w:val="single"/>
    </w:rPr>
  </w:style>
  <w:style w:type="paragraph" w:styleId="835" w:customStyle="1">
    <w:name w:val="ConsPlusNonformat"/>
    <w:pPr>
      <w:spacing w:after="0" w:line="240" w:lineRule="auto"/>
      <w:widowControl w:val="off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836">
    <w:name w:val="List Paragraph"/>
    <w:basedOn w:val="829"/>
    <w:uiPriority w:val="34"/>
    <w:qFormat/>
    <w:pPr>
      <w:contextualSpacing/>
      <w:ind w:left="720"/>
      <w:spacing w:after="200" w:line="276" w:lineRule="auto"/>
    </w:pPr>
    <w:rPr>
      <w:rFonts w:eastAsiaTheme="minorEastAsia"/>
      <w:lang w:eastAsia="ru-RU"/>
    </w:rPr>
  </w:style>
  <w:style w:type="paragraph" w:styleId="837">
    <w:name w:val="Document Map"/>
    <w:basedOn w:val="829"/>
    <w:link w:val="838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38" w:customStyle="1">
    <w:name w:val="Схема документа Знак"/>
    <w:basedOn w:val="830"/>
    <w:link w:val="837"/>
    <w:uiPriority w:val="99"/>
    <w:semiHidden/>
    <w:rPr>
      <w:rFonts w:ascii="Tahoma" w:hAnsi="Tahoma" w:cs="Tahoma"/>
      <w:sz w:val="16"/>
      <w:szCs w:val="16"/>
    </w:rPr>
  </w:style>
  <w:style w:type="paragraph" w:styleId="839" w:customStyle="1">
    <w:name w:val="ConsPlusNormal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cs="Times New Roman" w:eastAsiaTheme="minorEastAsia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mailto:rsa@nso.ru" TargetMode="External"/><Relationship Id="rId9" Type="http://schemas.openxmlformats.org/officeDocument/2006/relationships/hyperlink" Target="mailto:mmn@nso.ru" TargetMode="External"/><Relationship Id="rId10" Type="http://schemas.openxmlformats.org/officeDocument/2006/relationships/hyperlink" Target="mailto:mmn@nso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Р7-Офис/2024.2.1.466</Application>
  <Company>PNO</Company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Медведев Михаил Николаевич</dc:creator>
  <cp:keywords/>
  <dc:description/>
  <cp:revision>12</cp:revision>
  <dcterms:created xsi:type="dcterms:W3CDTF">2023-03-03T07:19:00Z</dcterms:created>
  <dcterms:modified xsi:type="dcterms:W3CDTF">2024-07-15T09:24:12Z</dcterms:modified>
</cp:coreProperties>
</file>