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E3" w:rsidRDefault="00FF1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и результаты рассмотрения обращений граждан, поступивших в министерство жилищно-коммунального хозяйства и энергетики НСО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 года.</w:t>
      </w:r>
    </w:p>
    <w:p w:rsidR="00AE14E3" w:rsidRDefault="00AE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Конституцией Российской Федерации, Федеральным законом от 02.05.2006 №59-ФЗ «О п</w:t>
      </w:r>
      <w:r>
        <w:rPr>
          <w:rFonts w:ascii="Times New Roman" w:hAnsi="Times New Roman" w:cs="Times New Roman"/>
          <w:sz w:val="28"/>
          <w:szCs w:val="28"/>
        </w:rPr>
        <w:t>орядке рассмотрения обращений граждан Российской Федерации»,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по объективному, всестороннему и своевременному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отрению обращений осуществляет отдел организационно-правовой и кадровой работы министерства. 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министерстве установлены прика</w:t>
      </w:r>
      <w:r>
        <w:rPr>
          <w:rFonts w:ascii="Times New Roman" w:hAnsi="Times New Roman" w:cs="Times New Roman"/>
          <w:sz w:val="28"/>
          <w:szCs w:val="28"/>
        </w:rPr>
        <w:t>зом министерства от 26.03.2024 № 52-НПА «Об утверждении инструкции о порядке организации работы с обращениями граждан в министерстве жилищно-коммунального хозяйства и энергетики Новосибирской области».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09.01.2024 по 31.03.2024 в министерство по</w:t>
      </w:r>
      <w:r>
        <w:rPr>
          <w:rFonts w:ascii="Times New Roman" w:hAnsi="Times New Roman" w:cs="Times New Roman"/>
          <w:sz w:val="28"/>
          <w:szCs w:val="28"/>
        </w:rPr>
        <w:t xml:space="preserve">ступило </w:t>
      </w:r>
      <w:r>
        <w:rPr>
          <w:rFonts w:ascii="Times New Roman" w:hAnsi="Times New Roman" w:cs="Times New Roman"/>
          <w:b/>
          <w:sz w:val="28"/>
          <w:szCs w:val="28"/>
        </w:rPr>
        <w:t>766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B42B4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1 квартале 2023 – 632, в 1 квартале 2022 – 579, 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1 квартале 2021 – 612, в 1 квартале 2020 – 678, 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1 квартале 2019 – 579, в 1 квартале 2018 - 724, 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1 квартале 2017 – 611, в 1 квартале 2016 – 339).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письмен</w:t>
      </w:r>
      <w:r>
        <w:rPr>
          <w:rFonts w:ascii="Times New Roman" w:hAnsi="Times New Roman" w:cs="Times New Roman"/>
          <w:sz w:val="28"/>
          <w:szCs w:val="28"/>
        </w:rPr>
        <w:t xml:space="preserve">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717</w:t>
      </w:r>
      <w:r>
        <w:rPr>
          <w:rFonts w:ascii="Times New Roman" w:hAnsi="Times New Roman" w:cs="Times New Roman"/>
          <w:sz w:val="28"/>
          <w:szCs w:val="28"/>
        </w:rPr>
        <w:t xml:space="preserve">, личный прием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по справочному телефону –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4E3" w:rsidRDefault="00AE14E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14E3" w:rsidRDefault="00AE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AE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AE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кварталом 2023 года (632)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(766) увеличилось на 53 обращения.</w:t>
      </w:r>
    </w:p>
    <w:p w:rsidR="00AE14E3" w:rsidRDefault="00AE1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AE1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524250"/>
            <wp:effectExtent l="0" t="0" r="0" b="0"/>
            <wp:wrapSquare wrapText="bothSides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E14E3" w:rsidRDefault="00AE14E3" w:rsidP="00B11E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AE14E3" w:rsidRDefault="00AE1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731 письменных обращений 321 обращение поступило на рассмотрение в министерство из общественной приемной Губернатора Новосибирской области и 238 обращений поступило непосредственно в министерство. По поручению Губернатора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было рассмотрено и подготовлено проектов ответов на 35 обращений граждан. По поручению заместителя Губернатора Петухова Ю.Ф., первого заместителя Председателя Правительства Новосибирской области Знаткова В.М. и заместителя Губернатора </w:t>
      </w:r>
      <w:r>
        <w:rPr>
          <w:rFonts w:ascii="Times New Roman" w:hAnsi="Times New Roman" w:cs="Times New Roman"/>
          <w:sz w:val="28"/>
          <w:szCs w:val="28"/>
        </w:rPr>
        <w:t>Сёмки С.Н. рассмотрено и подготовлено проектов ответов на 123 обращений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личном приеме принят 14 заявителей (зарегистрировано 14 карточек личного приема).</w:t>
      </w:r>
    </w:p>
    <w:p w:rsidR="00AE14E3" w:rsidRDefault="00AE14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E3" w:rsidRDefault="00FF1B8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</w:p>
    <w:p w:rsidR="00AE14E3" w:rsidRDefault="00FF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Новосибирской области от 25.12.2006 № 51</w:t>
      </w:r>
      <w:r>
        <w:rPr>
          <w:rFonts w:ascii="Times New Roman" w:hAnsi="Times New Roman" w:cs="Times New Roman"/>
          <w:sz w:val="28"/>
          <w:szCs w:val="28"/>
        </w:rPr>
        <w:t xml:space="preserve">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Губернатором Новосибирской области, заместителями Губернатора Новосибирской области, руководителями структурных подразделений администрации Губернатора Новосибирской области и Правительства Новосибирской области, руководителями </w:t>
      </w:r>
    </w:p>
    <w:p w:rsidR="00AE14E3" w:rsidRDefault="00FF1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областных и</w:t>
      </w:r>
      <w:r>
        <w:rPr>
          <w:rFonts w:ascii="Times New Roman" w:hAnsi="Times New Roman" w:cs="Times New Roman"/>
          <w:sz w:val="28"/>
          <w:szCs w:val="28"/>
        </w:rPr>
        <w:t xml:space="preserve">сполнительных органов государственной власти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каждая пятница месяца с 14.00.  </w:t>
      </w:r>
    </w:p>
    <w:p w:rsidR="00AE14E3" w:rsidRDefault="00FF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министр жилищно-коммунального хозяйства и энергетики Новосибирской области и уполномоченные лица министерства приняли 14 человек на</w:t>
      </w:r>
      <w:r>
        <w:rPr>
          <w:rFonts w:ascii="Times New Roman" w:hAnsi="Times New Roman" w:cs="Times New Roman"/>
          <w:sz w:val="28"/>
          <w:szCs w:val="28"/>
        </w:rPr>
        <w:t xml:space="preserve"> личном приеме по 14 вопросам. </w:t>
      </w:r>
    </w:p>
    <w:p w:rsidR="00AE14E3" w:rsidRDefault="00FF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2023 года на личном приеме было принято 21 человек по 21 вопросу. Таким образом, общее количество граждан, принятых на личном приеме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уменьшилось на 6 заявителя. </w:t>
      </w:r>
    </w:p>
    <w:p w:rsidR="00AE14E3" w:rsidRDefault="00AE14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E3" w:rsidRDefault="00AE14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E3" w:rsidRDefault="00FF1B8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обраще</w:t>
      </w:r>
      <w:r>
        <w:rPr>
          <w:rFonts w:ascii="Times New Roman" w:hAnsi="Times New Roman" w:cs="Times New Roman"/>
          <w:b/>
          <w:sz w:val="28"/>
          <w:szCs w:val="28"/>
        </w:rPr>
        <w:t>ний граждан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граждан (в том числе личный прием), поступившие в министерство, распределились по направлениям деятельности следующим образом: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ТКО/ТБО – 59,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УК и ГЖИ НСО – 101,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многоквартирных домов – 129,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 – 96,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из аварийного и ветхого жилья – 61,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– 60,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коммунальные услуги и за капремонт – 33,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– 37,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 – 67,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 – 63,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 – 24,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-1.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731 обращений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7962" cy="3275937"/>
            <wp:effectExtent l="0" t="0" r="5080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14E3" w:rsidRDefault="00AE1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вопросов, затрону</w:t>
      </w:r>
      <w:r w:rsidR="00B11E77">
        <w:rPr>
          <w:rFonts w:ascii="Times New Roman" w:hAnsi="Times New Roman" w:cs="Times New Roman"/>
          <w:sz w:val="28"/>
          <w:szCs w:val="28"/>
        </w:rPr>
        <w:t xml:space="preserve">тых жителями касается работы 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оператора </w:t>
      </w:r>
      <w:r w:rsidR="00B11E77">
        <w:rPr>
          <w:rFonts w:ascii="Times New Roman" w:hAnsi="Times New Roman" w:cs="Times New Roman"/>
          <w:sz w:val="28"/>
          <w:szCs w:val="28"/>
        </w:rPr>
        <w:t>МУП «Спецавтохозяйство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», переселения из ветхого и аварийного жилья, деятельности управляющих организаций и их проверки, а также капитального ремонта многоквартирных домо</w:t>
      </w:r>
      <w:r>
        <w:rPr>
          <w:rFonts w:ascii="Times New Roman" w:hAnsi="Times New Roman" w:cs="Times New Roman"/>
          <w:sz w:val="28"/>
          <w:szCs w:val="28"/>
        </w:rPr>
        <w:t>в: об исключении многоквартирного дома из региональной программы капитального ремонта, об актуализации региональной программы капитального ремонта, о переносе и замене сроков капитального ремонта, взносов за капитальный ремонт, о содержании и текущем ремон</w:t>
      </w:r>
      <w:r>
        <w:rPr>
          <w:rFonts w:ascii="Times New Roman" w:hAnsi="Times New Roman" w:cs="Times New Roman"/>
          <w:sz w:val="28"/>
          <w:szCs w:val="28"/>
        </w:rPr>
        <w:t>те общего имущества многоквартирного дома, о тарифах и начислениях за коммунальные платежи, и вопросов коммунального комплекса.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2024 года в отдел комфортной городской среды министерства жилищно-коммунального хозяйства и энергетики Новосибирско</w:t>
      </w:r>
      <w:r>
        <w:rPr>
          <w:rFonts w:ascii="Times New Roman" w:hAnsi="Times New Roman" w:cs="Times New Roman"/>
          <w:sz w:val="28"/>
          <w:szCs w:val="28"/>
        </w:rPr>
        <w:t>й области поступили обращения граждан по вопросам: организации сбора и вывоза твердых коммунальных отходов (далее – ТКО), о перерасчете начислений за коммунальную услугу по обращению с ТКО, освещения в населенных пунктах, благоустройства придомовых террито</w:t>
      </w:r>
      <w:r>
        <w:rPr>
          <w:rFonts w:ascii="Times New Roman" w:hAnsi="Times New Roman" w:cs="Times New Roman"/>
          <w:sz w:val="28"/>
          <w:szCs w:val="28"/>
        </w:rPr>
        <w:t xml:space="preserve">рий, в том числе уборка снега. 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обращения с ТКО совместно с региональным оператором рассмотрены обращения граждан, даны разъяснения в части законодательства Российской Федерации, Федерального закона от 24.06.1998 № 89-ФЗ «Об отходах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а и потребления», и реализации мероприятий в рамках государственной программы «Развитие системы обращения с отходами производства и потребления в Новосибирской области», утвержденной постановлением Правительства Новосибирской области от 19.01.2015 № 10-п. 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содержания и благоустройства территорий рассмотрены обращения граждан, даны разъяснения в части Федерального закона от 06.10.2003 № 131-ФЗ «Об общих принципах организации местного самоуправления в Российской Федерации» и реализации мероприятий</w:t>
      </w:r>
      <w:r>
        <w:rPr>
          <w:rFonts w:ascii="Times New Roman" w:hAnsi="Times New Roman" w:cs="Times New Roman"/>
          <w:sz w:val="28"/>
          <w:szCs w:val="28"/>
        </w:rPr>
        <w:t>, в рамках подпрограммы «Благоустройство территорий населенных пунктов» государственной программы</w:t>
      </w: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«Жилищно-коммунальное хозяйство Новосибирской области», утвержденной постановлением Правительства Новосибирской области от </w:t>
      </w: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16.02.2015 №</w:t>
      </w:r>
      <w:r>
        <w:rPr>
          <w:rFonts w:ascii="Times New Roman" w:hAnsi="Times New Roman" w:cs="Times New Roman"/>
          <w:sz w:val="28"/>
          <w:szCs w:val="28"/>
        </w:rPr>
        <w:t xml:space="preserve"> 66-п о возможности благоустройства общественных пространств. Данная информация доведена до сведения заявителей.</w:t>
      </w:r>
    </w:p>
    <w:p w:rsidR="00AE14E3" w:rsidRDefault="00AE1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отдел теплоснабжения поступили обращения граждан по вопросам: качества предоставляемых коммунальных услуг, технологическом присоединении к т</w:t>
      </w:r>
      <w:r>
        <w:rPr>
          <w:rFonts w:ascii="Times New Roman" w:eastAsia="Calibri" w:hAnsi="Times New Roman" w:cs="Times New Roman"/>
          <w:sz w:val="28"/>
          <w:szCs w:val="28"/>
        </w:rPr>
        <w:t>епловым сетям частных домовладений, о надежности работы систем теплоснабжения.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процедур по подключению объектов капитального строительства к системам теплоснабжения органам местного самоуправления, руководителям организаций 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комплекса даны разъяснения в соответствии с Правилами подключения к системам теплоснабжения.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надежности работы объектов теплоснабжения муниципальных образований НСО, готовность их к отопительному периоду, обеспечивается в рамках подготовки объек</w:t>
      </w:r>
      <w:r>
        <w:rPr>
          <w:rFonts w:ascii="Times New Roman" w:hAnsi="Times New Roman" w:cs="Times New Roman"/>
          <w:sz w:val="28"/>
          <w:szCs w:val="28"/>
        </w:rPr>
        <w:t>тов энергетики, коммунального комплекса, жилищного фонда и социально-культурной сферы в Новосибирской области к работе в отопительный период, в рамках государственных программ Новосибирской области «Энергосбережение и 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», «Жилищно-коммунальное хозяйство Новосибирской области». </w:t>
      </w:r>
    </w:p>
    <w:p w:rsidR="00AE14E3" w:rsidRDefault="00FF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устойчивого функционирования и своевременной подготовки объектов энергетики, коммунального комплекса, жилищного фонда и социально-культурной сферы в Новосибирской области к раб</w:t>
      </w:r>
      <w:r>
        <w:rPr>
          <w:rFonts w:ascii="Times New Roman" w:hAnsi="Times New Roman" w:cs="Times New Roman"/>
          <w:sz w:val="28"/>
          <w:szCs w:val="28"/>
        </w:rPr>
        <w:t>оте в отопительный период 2023/2024 года, обеспечения их устойчивым снабжением топливно-энергетическими ресурсами Правительством Новосибирской области разработано и утверждено Постановление от 23.05.2023 № 212-п «О мероприятиях по подготовке объектов энерг</w:t>
      </w:r>
      <w:r>
        <w:rPr>
          <w:rFonts w:ascii="Times New Roman" w:hAnsi="Times New Roman" w:cs="Times New Roman"/>
          <w:sz w:val="28"/>
          <w:szCs w:val="28"/>
        </w:rPr>
        <w:t>етики, коммунального комплекса, жилищного фонда и социально-культурной сферы в Новосибирской области к работе в отопительный период 2023/2024 года».</w:t>
      </w:r>
    </w:p>
    <w:p w:rsidR="00AE14E3" w:rsidRDefault="00AE14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 энергетики поступили обращения граждан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отключений электрической энергии, осуществления технологического присоединения к электрическим сетям, о заключении прямых договоров с ОАО «Новосибирскэнергосбыт», неудовлетворительного качества электроснабжения и др. По вопросам надежности элек</w:t>
      </w:r>
      <w:r>
        <w:rPr>
          <w:rFonts w:ascii="Times New Roman" w:hAnsi="Times New Roman" w:cs="Times New Roman"/>
          <w:sz w:val="28"/>
          <w:szCs w:val="28"/>
        </w:rPr>
        <w:t xml:space="preserve">троснабжения в жилых домах по результатам совместной работы с сетевой организацией </w:t>
      </w:r>
      <w:r>
        <w:rPr>
          <w:rFonts w:ascii="Times New Roman" w:hAnsi="Times New Roman" w:cs="Times New Roman"/>
          <w:sz w:val="28"/>
          <w:szCs w:val="28"/>
        </w:rPr>
        <w:br/>
        <w:t>АО «Региональные электрические сети» рассмотрены причины возникновения отключений электрической энергии. В большинстве случаев отключения являются плановыми. Плановые отклю</w:t>
      </w:r>
      <w:r>
        <w:rPr>
          <w:rFonts w:ascii="Times New Roman" w:hAnsi="Times New Roman" w:cs="Times New Roman"/>
          <w:sz w:val="28"/>
          <w:szCs w:val="28"/>
        </w:rPr>
        <w:t>чения проводились, как правило, с целью проведения работ по вырубке просеки, подключения новых потребителей, проведения ремонтных работ. Аварийные отключения вызваны срабатыванием аппаратуры и внешними воздействиями, а также плохими погодными условиями. Вр</w:t>
      </w:r>
      <w:r>
        <w:rPr>
          <w:rFonts w:ascii="Times New Roman" w:hAnsi="Times New Roman" w:cs="Times New Roman"/>
          <w:sz w:val="28"/>
          <w:szCs w:val="28"/>
        </w:rPr>
        <w:t xml:space="preserve">емя отсутствия электроснабжения при плановых отключениях не превышало </w:t>
      </w:r>
    </w:p>
    <w:p w:rsidR="00AE14E3" w:rsidRDefault="00FF1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допустимого. Данная информация доведена до сведения заявителей. По вопросам заключения прямых договоров с АО «Новосибирскэнергосбыт» </w:t>
      </w:r>
    </w:p>
    <w:p w:rsidR="00AE14E3" w:rsidRDefault="00FF1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заявителям был направлен перечень докуме</w:t>
      </w:r>
      <w:r>
        <w:rPr>
          <w:rFonts w:ascii="Times New Roman" w:hAnsi="Times New Roman" w:cs="Times New Roman"/>
          <w:sz w:val="28"/>
          <w:szCs w:val="28"/>
        </w:rPr>
        <w:t xml:space="preserve">нтов для заключения договора энергоснабжения с гарантирующим поставщиком АО «Новосибирскэнергосбыт». Вопросы неудовлетворительного качества электроснабжения, связанных </w:t>
      </w:r>
      <w:r>
        <w:rPr>
          <w:rFonts w:ascii="Times New Roman" w:hAnsi="Times New Roman" w:cs="Times New Roman"/>
          <w:sz w:val="28"/>
          <w:szCs w:val="28"/>
        </w:rPr>
        <w:br/>
        <w:t>с отклонением напряжения от нормативного, были решены сетевыми компаниями посредством у</w:t>
      </w:r>
      <w:r>
        <w:rPr>
          <w:rFonts w:ascii="Times New Roman" w:hAnsi="Times New Roman" w:cs="Times New Roman"/>
          <w:sz w:val="28"/>
          <w:szCs w:val="28"/>
        </w:rPr>
        <w:t>становки контрольных выносных приборов учета электрической энергии на опоры электрической сети 0,4 кВ, выполнения суточного мониторинга уровня напряжения. По вопросам осуществления технологического присоединения к электрическим сетям заявителям был разъясн</w:t>
      </w:r>
      <w:r>
        <w:rPr>
          <w:rFonts w:ascii="Times New Roman" w:hAnsi="Times New Roman" w:cs="Times New Roman"/>
          <w:sz w:val="28"/>
          <w:szCs w:val="28"/>
        </w:rPr>
        <w:t>ен порядок заключения договора на технологическое присоединение с электросетевой организацией.</w:t>
      </w:r>
    </w:p>
    <w:p w:rsidR="00AE14E3" w:rsidRDefault="00AE1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газификации (газоснабжения) наиболее частыми вопросами в обращениях граждан были: 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сроки газификации населенных пунктов, с включением их в подпрограмм</w:t>
      </w:r>
      <w:r>
        <w:rPr>
          <w:rFonts w:ascii="Times New Roman" w:hAnsi="Times New Roman" w:cs="Times New Roman"/>
          <w:sz w:val="28"/>
          <w:szCs w:val="28"/>
        </w:rPr>
        <w:t>у «Газификация» государственной программы;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Послания Президента Российской Федерации к Федеральному Собранию Российской Федерации, а также перечня поручений Президента Российской Федерации от 31.05.2020 № Пр-907 (подключение к газораспределител</w:t>
      </w:r>
      <w:r>
        <w:rPr>
          <w:rFonts w:ascii="Times New Roman" w:hAnsi="Times New Roman" w:cs="Times New Roman"/>
          <w:sz w:val="28"/>
          <w:szCs w:val="28"/>
        </w:rPr>
        <w:t>ьным сетям без привлечения средств граждан);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догазификация;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платы за технологическое присоединение газоиспользующего оборудования к газораспределительным сетям и (или) стандартизированным тарифным ставкам, определяющим их величину (стоимость по</w:t>
      </w:r>
      <w:r>
        <w:rPr>
          <w:rFonts w:ascii="Times New Roman" w:hAnsi="Times New Roman" w:cs="Times New Roman"/>
          <w:sz w:val="28"/>
          <w:szCs w:val="28"/>
        </w:rPr>
        <w:t>дключения к газовым сетям). Но в соответствии с пунктом 13.1. постановления Правительства Новосибирской области от 25.02.2013 № 74-п «О департаменте по тарифам Новосибирской области»: в установленной сфере деятельности департамент устанавливает размер плат</w:t>
      </w:r>
      <w:r>
        <w:rPr>
          <w:rFonts w:ascii="Times New Roman" w:hAnsi="Times New Roman" w:cs="Times New Roman"/>
          <w:sz w:val="28"/>
          <w:szCs w:val="28"/>
        </w:rPr>
        <w:t>ы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величину;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подключения (технологическое присоединение)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к газораспределительным сетям. В соответствии с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30.12.2013 № 1314 заявителям были даны разъяснения по указанному вопросу;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оказание содействия населению Новосибирской области при газификации домовладений. Заявителям даны разъяснения о предоставлении субсидий на компенсацию части процентной ставки по кредитам в соответствии с постановлением администрации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28.08.2006 № 66-па «О государственной поддержке граждан при кредитовании на газификацию жилья в Новосибирской области».</w:t>
      </w:r>
    </w:p>
    <w:p w:rsidR="00AE14E3" w:rsidRDefault="00AE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водоснабжения и водоотведения обращения граждан, поступившие в министерство в 1 квартале 2024 года, содержали вопрос</w:t>
      </w:r>
      <w:r>
        <w:rPr>
          <w:rFonts w:ascii="Times New Roman" w:hAnsi="Times New Roman" w:cs="Times New Roman"/>
          <w:sz w:val="28"/>
          <w:szCs w:val="28"/>
        </w:rPr>
        <w:t xml:space="preserve">ы о качестве питьевой воды в муниципальных образованиях Новосибирской области, порядке подключения объектов капитального строительства к централизованной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водоснабжения, о размере платы за подключение, об аварийном состоянии сетей водоснабжения и во</w:t>
      </w:r>
      <w:r>
        <w:rPr>
          <w:rFonts w:ascii="Times New Roman" w:hAnsi="Times New Roman" w:cs="Times New Roman"/>
          <w:sz w:val="28"/>
          <w:szCs w:val="28"/>
        </w:rPr>
        <w:t>доотведения.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В.В. Путина от 07.05.2018 № 204 «О национальных целях и стратегических задачах развития Российской Федерации на период до 2024 года» к 2024 году необходимо достичь </w:t>
      </w:r>
      <w:r>
        <w:rPr>
          <w:rFonts w:ascii="Times New Roman" w:hAnsi="Times New Roman" w:cs="Times New Roman"/>
          <w:sz w:val="28"/>
          <w:szCs w:val="28"/>
        </w:rPr>
        <w:t>повышение качества пить</w:t>
      </w:r>
      <w:r>
        <w:rPr>
          <w:rFonts w:ascii="Times New Roman" w:hAnsi="Times New Roman" w:cs="Times New Roman"/>
          <w:sz w:val="28"/>
          <w:szCs w:val="28"/>
        </w:rPr>
        <w:t>евой воды для населения, в том числе для жителей населенных пунктов, не оборудованных современными системами централизованного водоснабжения.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Паспортом регионального проекта «Чистая вода» предусмотрено достижение доли населения Новосибирской области обеспе</w:t>
      </w:r>
      <w:r>
        <w:rPr>
          <w:rFonts w:ascii="Times New Roman" w:eastAsia="Calibri" w:hAnsi="Times New Roman" w:cs="Times New Roman"/>
          <w:sz w:val="28"/>
          <w:szCs w:val="28"/>
        </w:rPr>
        <w:t>ченного качественной питьевой водой из систем централизованного водоснабжения, не менее чем до 91,8 % к 2024 году, доли городского населения Новосибирской области, обеспеченного качественной питьевой водой из систем централизованного водоснабжения, не мене</w:t>
      </w:r>
      <w:r>
        <w:rPr>
          <w:rFonts w:ascii="Times New Roman" w:eastAsia="Calibri" w:hAnsi="Times New Roman" w:cs="Times New Roman"/>
          <w:sz w:val="28"/>
          <w:szCs w:val="28"/>
        </w:rPr>
        <w:t>е чем до 99% к 2024 году.</w:t>
      </w:r>
    </w:p>
    <w:p w:rsidR="00AE14E3" w:rsidRDefault="00FF1B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время, по данным Государственного доклада Управления Роспотребнадзора по Новосибирской области «О состоянии санитарно-эпидемиологического благополучия населения в Новосибирской области в 2021 году» доля населения, обес</w:t>
      </w:r>
      <w:r>
        <w:rPr>
          <w:rFonts w:ascii="Times New Roman" w:eastAsia="Calibri" w:hAnsi="Times New Roman" w:cs="Times New Roman"/>
          <w:sz w:val="28"/>
          <w:szCs w:val="28"/>
        </w:rPr>
        <w:t>печенного качественной питьевой водой, соответствующей гигиеническим нормативам в 2021 году увеличилась на 0,4% к уровню 2020 года, и составила 87,3%. Ежегодно наблюдается положительная динамика.</w:t>
      </w:r>
    </w:p>
    <w:p w:rsidR="00AE14E3" w:rsidRDefault="00AE1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жилищной политики и развития жилищно-коммунальн</w:t>
      </w:r>
      <w:r>
        <w:rPr>
          <w:rFonts w:ascii="Times New Roman" w:hAnsi="Times New Roman" w:cs="Times New Roman"/>
          <w:sz w:val="28"/>
          <w:szCs w:val="28"/>
        </w:rPr>
        <w:t xml:space="preserve">ого хозяйства были рассмотрены и разъяснены следующие вопросы, содержащиеся в обращениях граждан: </w:t>
      </w: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переселение граждан из аварийного жилищного фонда;</w:t>
      </w: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порядок признания многоквартирных домов аварийными и подлежащими сносу;</w:t>
      </w: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включение домов в федерал</w:t>
      </w:r>
      <w:r>
        <w:rPr>
          <w:rFonts w:ascii="Times New Roman" w:hAnsi="Times New Roman" w:cs="Times New Roman"/>
          <w:sz w:val="28"/>
          <w:szCs w:val="28"/>
        </w:rPr>
        <w:t>ьную и областную программы переселения;</w:t>
      </w: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внесение данных по аварийным многоквартирным домам в АИС «Реформа ЖКХ»;</w:t>
      </w: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 переносе срока капитального ремонта многоквартирных домов;</w:t>
      </w:r>
    </w:p>
    <w:p w:rsidR="00AE14E3" w:rsidRDefault="00FF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 качестве капитального ремонта многоквартирных домов;</w:t>
      </w:r>
    </w:p>
    <w:p w:rsidR="00AE14E3" w:rsidRDefault="00FF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 о качестве оказания УК услуг по содержанию общего имущества многоквартирных домов и т.д. </w:t>
      </w:r>
    </w:p>
    <w:p w:rsidR="00AE14E3" w:rsidRDefault="00A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E3" w:rsidRDefault="00FF1B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обращения, поступившие непосредственно в министерство, были рассмотрены руководителем министерства и направлены исполнителям для подготовки ответов заявителям.</w:t>
      </w:r>
      <w:r>
        <w:rPr>
          <w:rFonts w:ascii="Times New Roman" w:hAnsi="Times New Roman" w:cs="Times New Roman"/>
          <w:sz w:val="28"/>
          <w:szCs w:val="28"/>
        </w:rPr>
        <w:t xml:space="preserve"> По существу, всех поставленных в обращениях вопросов, гражданам были даны ответы в установленный действующим законодательством срок. </w:t>
      </w:r>
    </w:p>
    <w:p w:rsidR="00AE14E3" w:rsidRDefault="00AE14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14E3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83" w:rsidRDefault="00FF1B83">
      <w:pPr>
        <w:spacing w:after="0" w:line="240" w:lineRule="auto"/>
      </w:pPr>
      <w:r>
        <w:separator/>
      </w:r>
    </w:p>
  </w:endnote>
  <w:endnote w:type="continuationSeparator" w:id="0">
    <w:p w:rsidR="00FF1B83" w:rsidRDefault="00FF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83" w:rsidRDefault="00FF1B83">
      <w:pPr>
        <w:spacing w:after="0" w:line="240" w:lineRule="auto"/>
      </w:pPr>
      <w:r>
        <w:separator/>
      </w:r>
    </w:p>
  </w:footnote>
  <w:footnote w:type="continuationSeparator" w:id="0">
    <w:p w:rsidR="00FF1B83" w:rsidRDefault="00FF1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3"/>
    <w:rsid w:val="00AE14E3"/>
    <w:rsid w:val="00B11E77"/>
    <w:rsid w:val="00B42B47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9737"/>
  <w15:docId w15:val="{3A101416-940B-4274-AF76-5167ED16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CADE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DDF4" w:themeColor="accent1" w:themeTint="67"/>
        <w:left w:val="single" w:sz="4" w:space="0" w:color="A3DDF4" w:themeColor="accent1" w:themeTint="67"/>
        <w:bottom w:val="single" w:sz="4" w:space="0" w:color="A3DDF4" w:themeColor="accent1" w:themeTint="67"/>
        <w:right w:val="single" w:sz="4" w:space="0" w:color="A3DDF4" w:themeColor="accent1" w:themeTint="67"/>
        <w:insideH w:val="single" w:sz="4" w:space="0" w:color="A3DDF4" w:themeColor="accent1" w:themeTint="67"/>
        <w:insideV w:val="single" w:sz="4" w:space="0" w:color="A3DDF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CEE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DDF4" w:themeColor="accent1" w:themeTint="67"/>
          <w:left w:val="single" w:sz="4" w:space="0" w:color="A3DDF4" w:themeColor="accent1" w:themeTint="67"/>
          <w:bottom w:val="single" w:sz="4" w:space="0" w:color="A3DDF4" w:themeColor="accent1" w:themeTint="67"/>
          <w:right w:val="single" w:sz="4" w:space="0" w:color="A3DDF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DED" w:themeColor="accent2" w:themeTint="67"/>
        <w:left w:val="single" w:sz="4" w:space="0" w:color="A1CDED" w:themeColor="accent2" w:themeTint="67"/>
        <w:bottom w:val="single" w:sz="4" w:space="0" w:color="A1CDED" w:themeColor="accent2" w:themeTint="67"/>
        <w:right w:val="single" w:sz="4" w:space="0" w:color="A1CDED" w:themeColor="accent2" w:themeTint="67"/>
        <w:insideH w:val="single" w:sz="4" w:space="0" w:color="A1CDED" w:themeColor="accent2" w:themeTint="67"/>
        <w:insideV w:val="single" w:sz="4" w:space="0" w:color="A1CDE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8B7E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DED" w:themeColor="accent2" w:themeTint="67"/>
          <w:left w:val="single" w:sz="4" w:space="0" w:color="A1CDED" w:themeColor="accent2" w:themeTint="67"/>
          <w:bottom w:val="single" w:sz="4" w:space="0" w:color="A1CDED" w:themeColor="accent2" w:themeTint="67"/>
          <w:right w:val="single" w:sz="4" w:space="0" w:color="A1CDED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7EBEF" w:themeColor="accent3" w:themeTint="67"/>
        <w:left w:val="single" w:sz="4" w:space="0" w:color="A7EBEF" w:themeColor="accent3" w:themeTint="67"/>
        <w:bottom w:val="single" w:sz="4" w:space="0" w:color="A7EBEF" w:themeColor="accent3" w:themeTint="67"/>
        <w:right w:val="single" w:sz="4" w:space="0" w:color="A7EBEF" w:themeColor="accent3" w:themeTint="67"/>
        <w:insideH w:val="single" w:sz="4" w:space="0" w:color="A7EBEF" w:themeColor="accent3" w:themeTint="67"/>
        <w:insideV w:val="single" w:sz="4" w:space="0" w:color="A7EBE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E2E8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BEF" w:themeColor="accent3" w:themeTint="67"/>
          <w:left w:val="single" w:sz="4" w:space="0" w:color="A7EBEF" w:themeColor="accent3" w:themeTint="67"/>
          <w:bottom w:val="single" w:sz="4" w:space="0" w:color="A7EBEF" w:themeColor="accent3" w:themeTint="67"/>
          <w:right w:val="single" w:sz="4" w:space="0" w:color="A7EBE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3D5" w:themeColor="accent4" w:themeTint="67"/>
        <w:left w:val="single" w:sz="4" w:space="0" w:color="B2E3D5" w:themeColor="accent4" w:themeTint="67"/>
        <w:bottom w:val="single" w:sz="4" w:space="0" w:color="B2E3D5" w:themeColor="accent4" w:themeTint="67"/>
        <w:right w:val="single" w:sz="4" w:space="0" w:color="B2E3D5" w:themeColor="accent4" w:themeTint="67"/>
        <w:insideH w:val="single" w:sz="4" w:space="0" w:color="B2E3D5" w:themeColor="accent4" w:themeTint="67"/>
        <w:insideV w:val="single" w:sz="4" w:space="0" w:color="B2E3D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FD7C2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3D5" w:themeColor="accent4" w:themeTint="67"/>
          <w:left w:val="single" w:sz="4" w:space="0" w:color="B2E3D5" w:themeColor="accent4" w:themeTint="67"/>
          <w:bottom w:val="single" w:sz="4" w:space="0" w:color="B2E3D5" w:themeColor="accent4" w:themeTint="67"/>
          <w:right w:val="single" w:sz="4" w:space="0" w:color="B2E3D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D7B5" w:themeColor="accent5" w:themeTint="67"/>
        <w:left w:val="single" w:sz="4" w:space="0" w:color="A8D7B5" w:themeColor="accent5" w:themeTint="67"/>
        <w:bottom w:val="single" w:sz="4" w:space="0" w:color="A8D7B5" w:themeColor="accent5" w:themeTint="67"/>
        <w:right w:val="single" w:sz="4" w:space="0" w:color="A8D7B5" w:themeColor="accent5" w:themeTint="67"/>
        <w:insideH w:val="single" w:sz="4" w:space="0" w:color="A8D7B5" w:themeColor="accent5" w:themeTint="67"/>
        <w:insideV w:val="single" w:sz="4" w:space="0" w:color="A8D7B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C694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7B5" w:themeColor="accent5" w:themeTint="67"/>
          <w:left w:val="single" w:sz="4" w:space="0" w:color="A8D7B5" w:themeColor="accent5" w:themeTint="67"/>
          <w:bottom w:val="single" w:sz="4" w:space="0" w:color="A8D7B5" w:themeColor="accent5" w:themeTint="67"/>
          <w:right w:val="single" w:sz="4" w:space="0" w:color="A8D7B5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9D8" w:themeColor="accent6" w:themeTint="67"/>
        <w:left w:val="single" w:sz="4" w:space="0" w:color="BFD9D8" w:themeColor="accent6" w:themeTint="67"/>
        <w:bottom w:val="single" w:sz="4" w:space="0" w:color="BFD9D8" w:themeColor="accent6" w:themeTint="67"/>
        <w:right w:val="single" w:sz="4" w:space="0" w:color="BFD9D8" w:themeColor="accent6" w:themeTint="67"/>
        <w:insideH w:val="single" w:sz="4" w:space="0" w:color="BFD9D8" w:themeColor="accent6" w:themeTint="67"/>
        <w:insideV w:val="single" w:sz="4" w:space="0" w:color="BFD9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9C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9D8" w:themeColor="accent6" w:themeTint="67"/>
          <w:left w:val="single" w:sz="4" w:space="0" w:color="BFD9D8" w:themeColor="accent6" w:themeTint="67"/>
          <w:bottom w:val="single" w:sz="4" w:space="0" w:color="BFD9D8" w:themeColor="accent6" w:themeTint="67"/>
          <w:right w:val="single" w:sz="4" w:space="0" w:color="BFD9D8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EB3E6" w:themeColor="accent1" w:themeTint="EA"/>
        <w:insideH w:val="single" w:sz="4" w:space="0" w:color="2EB3E6" w:themeColor="accent1" w:themeTint="EA"/>
        <w:insideV w:val="single" w:sz="4" w:space="0" w:color="2EB3E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EB3E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EB3E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6B6E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6B6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7CED7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BD6C0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BD6C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E885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2A39F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EB3E6" w:themeColor="accent1" w:themeTint="EA"/>
        <w:insideH w:val="single" w:sz="4" w:space="0" w:color="2EB3E6" w:themeColor="accent1" w:themeTint="EA"/>
        <w:insideV w:val="single" w:sz="4" w:space="0" w:color="2EB3E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left w:val="single" w:sz="4" w:space="0" w:color="7ED0EF" w:themeColor="accent1" w:themeTint="90"/>
        <w:bottom w:val="single" w:sz="4" w:space="0" w:color="7ED0EF" w:themeColor="accent1" w:themeTint="90"/>
        <w:right w:val="single" w:sz="4" w:space="0" w:color="7ED0EF" w:themeColor="accent1" w:themeTint="90"/>
        <w:insideH w:val="single" w:sz="4" w:space="0" w:color="7ED0EF" w:themeColor="accent1" w:themeTint="90"/>
        <w:insideV w:val="single" w:sz="4" w:space="0" w:color="7ED0E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EB3E6" w:themeColor="accent1" w:themeTint="EA"/>
          <w:left w:val="single" w:sz="4" w:space="0" w:color="2EB3E6" w:themeColor="accent1" w:themeTint="EA"/>
          <w:bottom w:val="single" w:sz="4" w:space="0" w:color="2EB3E6" w:themeColor="accent1" w:themeTint="EA"/>
          <w:right w:val="single" w:sz="4" w:space="0" w:color="2EB3E6" w:themeColor="accent1" w:themeTint="EA"/>
        </w:tcBorders>
        <w:shd w:val="clear" w:color="2EB3E6" w:themeColor="accent1" w:themeTint="EA" w:fill="2EB3E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2EB3E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EEF9" w:themeColor="accent1" w:themeTint="32" w:fill="D2EEF9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EEF9" w:themeColor="accent1" w:themeTint="32" w:fill="D2EEF9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left w:val="single" w:sz="4" w:space="0" w:color="7CB9E6" w:themeColor="accent2" w:themeTint="90"/>
        <w:bottom w:val="single" w:sz="4" w:space="0" w:color="7CB9E6" w:themeColor="accent2" w:themeTint="90"/>
        <w:right w:val="single" w:sz="4" w:space="0" w:color="7CB9E6" w:themeColor="accent2" w:themeTint="90"/>
        <w:insideH w:val="single" w:sz="4" w:space="0" w:color="7CB9E6" w:themeColor="accent2" w:themeTint="90"/>
        <w:insideV w:val="single" w:sz="4" w:space="0" w:color="7CB9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6B6E5" w:themeColor="accent2" w:themeTint="97"/>
          <w:left w:val="single" w:sz="4" w:space="0" w:color="76B6E5" w:themeColor="accent2" w:themeTint="97"/>
          <w:bottom w:val="single" w:sz="4" w:space="0" w:color="76B6E5" w:themeColor="accent2" w:themeTint="97"/>
          <w:right w:val="single" w:sz="4" w:space="0" w:color="76B6E5" w:themeColor="accent2" w:themeTint="97"/>
        </w:tcBorders>
        <w:shd w:val="clear" w:color="76B6E5" w:themeColor="accent2" w:themeTint="97" w:fill="76B6E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76B6E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left w:val="single" w:sz="4" w:space="0" w:color="84E3E8" w:themeColor="accent3" w:themeTint="90"/>
        <w:bottom w:val="single" w:sz="4" w:space="0" w:color="84E3E8" w:themeColor="accent3" w:themeTint="90"/>
        <w:right w:val="single" w:sz="4" w:space="0" w:color="84E3E8" w:themeColor="accent3" w:themeTint="90"/>
        <w:insideH w:val="single" w:sz="4" w:space="0" w:color="84E3E8" w:themeColor="accent3" w:themeTint="90"/>
        <w:insideV w:val="single" w:sz="4" w:space="0" w:color="84E3E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7CED7" w:themeColor="accent3" w:themeTint="FE"/>
          <w:left w:val="single" w:sz="4" w:space="0" w:color="27CED7" w:themeColor="accent3" w:themeTint="FE"/>
          <w:bottom w:val="single" w:sz="4" w:space="0" w:color="27CED7" w:themeColor="accent3" w:themeTint="FE"/>
          <w:right w:val="single" w:sz="4" w:space="0" w:color="27CED7" w:themeColor="accent3" w:themeTint="FE"/>
        </w:tcBorders>
        <w:shd w:val="clear" w:color="27CED7" w:themeColor="accent3" w:themeTint="FE" w:fill="27CED7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left w:val="single" w:sz="4" w:space="0" w:color="93D8C4" w:themeColor="accent4" w:themeTint="90"/>
        <w:bottom w:val="single" w:sz="4" w:space="0" w:color="93D8C4" w:themeColor="accent4" w:themeTint="90"/>
        <w:right w:val="single" w:sz="4" w:space="0" w:color="93D8C4" w:themeColor="accent4" w:themeTint="90"/>
        <w:insideH w:val="single" w:sz="4" w:space="0" w:color="93D8C4" w:themeColor="accent4" w:themeTint="90"/>
        <w:insideV w:val="single" w:sz="4" w:space="0" w:color="93D8C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BD6C0" w:themeColor="accent4" w:themeTint="9A"/>
          <w:left w:val="single" w:sz="4" w:space="0" w:color="8BD6C0" w:themeColor="accent4" w:themeTint="9A"/>
          <w:bottom w:val="single" w:sz="4" w:space="0" w:color="8BD6C0" w:themeColor="accent4" w:themeTint="9A"/>
          <w:right w:val="single" w:sz="4" w:space="0" w:color="8BD6C0" w:themeColor="accent4" w:themeTint="9A"/>
        </w:tcBorders>
        <w:shd w:val="clear" w:color="8BD6C0" w:themeColor="accent4" w:themeTint="9A" w:fill="8BD6C0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BD6C0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left w:val="single" w:sz="4" w:space="0" w:color="85C798" w:themeColor="accent5" w:themeTint="90"/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  <w:insideV w:val="single" w:sz="4" w:space="0" w:color="85C79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</w:tcBorders>
        <w:shd w:val="clear" w:color="3E8853" w:themeColor="accent5" w:fill="3E885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left w:val="single" w:sz="4" w:space="0" w:color="A6CBC8" w:themeColor="accent6" w:themeTint="90"/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  <w:insideV w:val="single" w:sz="4" w:space="0" w:color="A6CBC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</w:tcBorders>
        <w:shd w:val="clear" w:color="62A39F" w:themeColor="accent6" w:fill="62A39F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EEF9" w:themeColor="accent1" w:themeTint="34" w:fill="D0EEF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CADE4" w:themeColor="accent1" w:fill="1CADE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band1Vert">
      <w:tblPr/>
      <w:tcPr>
        <w:shd w:val="clear" w:color="96D9F2" w:themeColor="accent1" w:themeTint="75" w:fill="96D9F2" w:themeFill="accent1" w:themeFillTint="75"/>
      </w:tcPr>
    </w:tblStylePr>
    <w:tblStylePr w:type="band1Horz">
      <w:tblPr/>
      <w:tcPr>
        <w:shd w:val="clear" w:color="96D9F2" w:themeColor="accent1" w:themeTint="75" w:fill="96D9F2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1E6F6" w:themeColor="accent2" w:themeTint="32" w:fill="D1E6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683C6" w:themeColor="accent2" w:fill="2683C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band1Vert">
      <w:tblPr/>
      <w:tcPr>
        <w:shd w:val="clear" w:color="95C6EA" w:themeColor="accent2" w:themeTint="75" w:fill="95C6EA" w:themeFill="accent2" w:themeFillTint="75"/>
      </w:tcPr>
    </w:tblStylePr>
    <w:tblStylePr w:type="band1Horz">
      <w:tblPr/>
      <w:tcPr>
        <w:shd w:val="clear" w:color="95C6EA" w:themeColor="accent2" w:themeTint="75" w:fill="95C6EA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2F5F7" w:themeColor="accent3" w:themeTint="34" w:fill="D2F5F7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7CED7" w:themeColor="accent3" w:fill="27CED7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band1Vert">
      <w:tblPr/>
      <w:tcPr>
        <w:shd w:val="clear" w:color="9BE8ED" w:themeColor="accent3" w:themeTint="75" w:fill="9BE8ED" w:themeFill="accent3" w:themeFillTint="75"/>
      </w:tcPr>
    </w:tblStylePr>
    <w:tblStylePr w:type="band1Horz">
      <w:tblPr/>
      <w:tcPr>
        <w:shd w:val="clear" w:color="9BE8ED" w:themeColor="accent3" w:themeTint="75" w:fill="9BE8ED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1E9" w:themeColor="accent4" w:themeTint="34" w:fill="D8F1E9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2BA97" w:themeColor="accent4" w:fill="42BA9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band1Vert">
      <w:tblPr/>
      <w:tcPr>
        <w:shd w:val="clear" w:color="A7E0CF" w:themeColor="accent4" w:themeTint="75" w:fill="A7E0CF" w:themeFill="accent4" w:themeFillTint="75"/>
      </w:tcPr>
    </w:tblStylePr>
    <w:tblStylePr w:type="band1Horz">
      <w:tblPr/>
      <w:tcPr>
        <w:shd w:val="clear" w:color="A7E0CF" w:themeColor="accent4" w:themeTint="75" w:fill="A7E0C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BD9" w:themeColor="accent5" w:themeTint="34" w:fill="D3EBD9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E8853" w:themeColor="accent5" w:fill="3E885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band1Vert">
      <w:tblPr/>
      <w:tcPr>
        <w:shd w:val="clear" w:color="9CD2AB" w:themeColor="accent5" w:themeTint="75" w:fill="9CD2AB" w:themeFill="accent5" w:themeFillTint="75"/>
      </w:tcPr>
    </w:tblStylePr>
    <w:tblStylePr w:type="band1Horz">
      <w:tblPr/>
      <w:tcPr>
        <w:shd w:val="clear" w:color="9CD2AB" w:themeColor="accent5" w:themeTint="75" w:fill="9CD2A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ECEB" w:themeColor="accent6" w:themeTint="34" w:fill="DEEC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2A39F" w:themeColor="accent6" w:fill="62A39F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band1Vert">
      <w:tblPr/>
      <w:tcPr>
        <w:shd w:val="clear" w:color="B6D4D2" w:themeColor="accent6" w:themeTint="75" w:fill="B6D4D2" w:themeFill="accent6" w:themeFillTint="75"/>
      </w:tcPr>
    </w:tblStylePr>
    <w:tblStylePr w:type="band1Horz">
      <w:tblPr/>
      <w:tcPr>
        <w:shd w:val="clear" w:color="B6D4D2" w:themeColor="accent6" w:themeTint="75" w:fill="B6D4D2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D5F1" w:themeColor="accent1" w:themeTint="80"/>
        <w:left w:val="single" w:sz="4" w:space="0" w:color="8CD5F1" w:themeColor="accent1" w:themeTint="80"/>
        <w:bottom w:val="single" w:sz="4" w:space="0" w:color="8CD5F1" w:themeColor="accent1" w:themeTint="80"/>
        <w:right w:val="single" w:sz="4" w:space="0" w:color="8CD5F1" w:themeColor="accent1" w:themeTint="80"/>
        <w:insideH w:val="single" w:sz="4" w:space="0" w:color="8CD5F1" w:themeColor="accent1" w:themeTint="80"/>
        <w:insideV w:val="single" w:sz="4" w:space="0" w:color="8CD5F1" w:themeColor="accent1" w:themeTint="80"/>
      </w:tblBorders>
    </w:tblPr>
    <w:tblStylePr w:type="firstRow">
      <w:rPr>
        <w:b/>
        <w:color w:val="8CD5F1" w:themeColor="accent1" w:themeTint="80" w:themeShade="95"/>
      </w:rPr>
      <w:tblPr/>
      <w:tcPr>
        <w:tcBorders>
          <w:bottom w:val="single" w:sz="12" w:space="0" w:color="8CD5F1" w:themeColor="accent1" w:themeTint="80"/>
        </w:tcBorders>
      </w:tcPr>
    </w:tblStylePr>
    <w:tblStylePr w:type="lastRow">
      <w:rPr>
        <w:b/>
        <w:color w:val="8CD5F1" w:themeColor="accent1" w:themeTint="80" w:themeShade="95"/>
      </w:rPr>
    </w:tblStylePr>
    <w:tblStylePr w:type="firstCol">
      <w:rPr>
        <w:b/>
        <w:color w:val="8CD5F1" w:themeColor="accent1" w:themeTint="80" w:themeShade="95"/>
      </w:rPr>
    </w:tblStylePr>
    <w:tblStylePr w:type="lastCol">
      <w:rPr>
        <w:b/>
        <w:color w:val="8CD5F1" w:themeColor="accent1" w:themeTint="80" w:themeShade="95"/>
      </w:rPr>
    </w:tblStylePr>
    <w:tblStylePr w:type="band1Vert"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8CD5F1" w:themeColor="accent1" w:themeTint="80" w:themeShade="95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2Horz">
      <w:rPr>
        <w:rFonts w:ascii="Arial" w:hAnsi="Arial"/>
        <w:color w:val="8CD5F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left w:val="single" w:sz="4" w:space="0" w:color="76B6E5" w:themeColor="accent2" w:themeTint="97"/>
        <w:bottom w:val="single" w:sz="4" w:space="0" w:color="76B6E5" w:themeColor="accent2" w:themeTint="97"/>
        <w:right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76B6E5" w:themeColor="accent2" w:themeTint="97" w:themeShade="95"/>
      </w:rPr>
      <w:tblPr/>
      <w:tcPr>
        <w:tcBorders>
          <w:bottom w:val="single" w:sz="12" w:space="0" w:color="76B6E5" w:themeColor="accent2" w:themeTint="97"/>
        </w:tcBorders>
      </w:tcPr>
    </w:tblStylePr>
    <w:tblStylePr w:type="lastRow">
      <w:rPr>
        <w:b/>
        <w:color w:val="76B6E5" w:themeColor="accent2" w:themeTint="97" w:themeShade="95"/>
      </w:rPr>
    </w:tblStylePr>
    <w:tblStylePr w:type="firstCol">
      <w:rPr>
        <w:b/>
        <w:color w:val="76B6E5" w:themeColor="accent2" w:themeTint="97" w:themeShade="95"/>
      </w:rPr>
    </w:tblStylePr>
    <w:tblStylePr w:type="lastCol">
      <w:rPr>
        <w:b/>
        <w:color w:val="76B6E5" w:themeColor="accent2" w:themeTint="97" w:themeShade="95"/>
      </w:rPr>
    </w:tblStylePr>
    <w:tblStylePr w:type="band1Vert"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 w:themeTint="FE"/>
        <w:left w:val="single" w:sz="4" w:space="0" w:color="27CED7" w:themeColor="accent3" w:themeTint="FE"/>
        <w:bottom w:val="single" w:sz="4" w:space="0" w:color="27CED7" w:themeColor="accent3" w:themeTint="FE"/>
        <w:right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27CED7" w:themeColor="accent3" w:themeTint="FE" w:themeShade="95"/>
      </w:rPr>
      <w:tblPr/>
      <w:tcPr>
        <w:tcBorders>
          <w:bottom w:val="single" w:sz="12" w:space="0" w:color="27CED7" w:themeColor="accent3" w:themeTint="FE"/>
        </w:tcBorders>
      </w:tcPr>
    </w:tblStylePr>
    <w:tblStylePr w:type="lastRow">
      <w:rPr>
        <w:b/>
        <w:color w:val="27CED7" w:themeColor="accent3" w:themeTint="FE" w:themeShade="95"/>
      </w:rPr>
    </w:tblStylePr>
    <w:tblStylePr w:type="firstCol">
      <w:rPr>
        <w:b/>
        <w:color w:val="27CED7" w:themeColor="accent3" w:themeTint="FE" w:themeShade="95"/>
      </w:rPr>
    </w:tblStylePr>
    <w:tblStylePr w:type="lastCol">
      <w:rPr>
        <w:b/>
        <w:color w:val="27CED7" w:themeColor="accent3" w:themeTint="FE" w:themeShade="95"/>
      </w:rPr>
    </w:tblStylePr>
    <w:tblStylePr w:type="band1Vert"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27CED7" w:themeColor="accent3" w:themeTint="FE" w:themeShade="95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2Horz">
      <w:rPr>
        <w:rFonts w:ascii="Arial" w:hAnsi="Arial"/>
        <w:color w:val="27CED7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left w:val="single" w:sz="4" w:space="0" w:color="8BD6C0" w:themeColor="accent4" w:themeTint="9A"/>
        <w:bottom w:val="single" w:sz="4" w:space="0" w:color="8BD6C0" w:themeColor="accent4" w:themeTint="9A"/>
        <w:right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8BD6C0" w:themeColor="accent4" w:themeTint="9A" w:themeShade="95"/>
      </w:rPr>
      <w:tblPr/>
      <w:tcPr>
        <w:tcBorders>
          <w:bottom w:val="single" w:sz="12" w:space="0" w:color="8BD6C0" w:themeColor="accent4" w:themeTint="9A"/>
        </w:tcBorders>
      </w:tcPr>
    </w:tblStylePr>
    <w:tblStylePr w:type="lastRow">
      <w:rPr>
        <w:b/>
        <w:color w:val="8BD6C0" w:themeColor="accent4" w:themeTint="9A" w:themeShade="95"/>
      </w:rPr>
    </w:tblStylePr>
    <w:tblStylePr w:type="firstCol">
      <w:rPr>
        <w:b/>
        <w:color w:val="8BD6C0" w:themeColor="accent4" w:themeTint="9A" w:themeShade="95"/>
      </w:rPr>
    </w:tblStylePr>
    <w:tblStylePr w:type="lastCol">
      <w:rPr>
        <w:b/>
        <w:color w:val="8BD6C0" w:themeColor="accent4" w:themeTint="9A" w:themeShade="95"/>
      </w:rPr>
    </w:tblStylePr>
    <w:tblStylePr w:type="band1Vert"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244F30" w:themeColor="accent5" w:themeShade="95"/>
      </w:rPr>
      <w:tblPr/>
      <w:tcPr>
        <w:tcBorders>
          <w:bottom w:val="single" w:sz="12" w:space="0" w:color="3E8853" w:themeColor="accent5"/>
        </w:tcBorders>
      </w:tcPr>
    </w:tblStylePr>
    <w:tblStylePr w:type="lastRow">
      <w:rPr>
        <w:b/>
        <w:color w:val="244F30" w:themeColor="accent5" w:themeShade="95"/>
      </w:rPr>
    </w:tblStylePr>
    <w:tblStylePr w:type="firstCol">
      <w:rPr>
        <w:b/>
        <w:color w:val="244F30" w:themeColor="accent5" w:themeShade="95"/>
      </w:rPr>
    </w:tblStylePr>
    <w:tblStylePr w:type="lastCol">
      <w:rPr>
        <w:b/>
        <w:color w:val="244F30" w:themeColor="accent5" w:themeShade="95"/>
      </w:rPr>
    </w:tblStylePr>
    <w:tblStylePr w:type="band1Vert"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244F30" w:themeColor="accent5" w:themeShade="95"/>
      </w:rPr>
      <w:tblPr/>
      <w:tcPr>
        <w:tcBorders>
          <w:bottom w:val="single" w:sz="12" w:space="0" w:color="62A39F" w:themeColor="accent6"/>
        </w:tcBorders>
      </w:tcPr>
    </w:tblStylePr>
    <w:tblStylePr w:type="lastRow">
      <w:rPr>
        <w:b/>
        <w:color w:val="244F30" w:themeColor="accent5" w:themeShade="95"/>
      </w:rPr>
    </w:tblStylePr>
    <w:tblStylePr w:type="firstCol">
      <w:rPr>
        <w:b/>
        <w:color w:val="244F30" w:themeColor="accent5" w:themeShade="95"/>
      </w:rPr>
    </w:tblStylePr>
    <w:tblStylePr w:type="lastCol">
      <w:rPr>
        <w:b/>
        <w:color w:val="244F30" w:themeColor="accent5" w:themeShade="95"/>
      </w:rPr>
    </w:tblStylePr>
    <w:tblStylePr w:type="band1Vert"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D5F1" w:themeColor="accent1" w:themeTint="80"/>
        <w:right w:val="single" w:sz="4" w:space="0" w:color="8CD5F1" w:themeColor="accent1" w:themeTint="80"/>
        <w:insideH w:val="single" w:sz="4" w:space="0" w:color="8CD5F1" w:themeColor="accent1" w:themeTint="80"/>
        <w:insideV w:val="single" w:sz="4" w:space="0" w:color="8CD5F1" w:themeColor="accent1" w:themeTint="80"/>
      </w:tblBorders>
    </w:tblPr>
    <w:tblStylePr w:type="firstRow">
      <w:rPr>
        <w:rFonts w:ascii="Arial" w:hAnsi="Arial"/>
        <w:b/>
        <w:color w:val="8CD5F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CD5F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D5F1" w:themeColor="accent1" w:themeTint="80" w:themeShade="95"/>
        <w:sz w:val="22"/>
      </w:rPr>
      <w:tblPr/>
      <w:tcPr>
        <w:tcBorders>
          <w:top w:val="single" w:sz="4" w:space="0" w:color="8CD5F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D5F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CD5F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D5F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8CD5F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8CD5F1" w:themeColor="accent1" w:themeTint="80" w:themeShade="95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2Horz">
      <w:rPr>
        <w:rFonts w:ascii="Arial" w:hAnsi="Arial"/>
        <w:color w:val="8CD5F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right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rFonts w:ascii="Arial" w:hAnsi="Arial"/>
        <w:b/>
        <w:color w:val="76B6E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6B6E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6B6E5" w:themeColor="accent2" w:themeTint="97" w:themeShade="95"/>
        <w:sz w:val="22"/>
      </w:rPr>
      <w:tblPr/>
      <w:tcPr>
        <w:tcBorders>
          <w:top w:val="single" w:sz="4" w:space="0" w:color="76B6E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6B6E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76B6E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right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rFonts w:ascii="Arial" w:hAnsi="Arial"/>
        <w:b/>
        <w:color w:val="27CED7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27CED7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7CED7" w:themeColor="accent3" w:themeTint="FE" w:themeShade="95"/>
        <w:sz w:val="22"/>
      </w:rPr>
      <w:tblPr/>
      <w:tcPr>
        <w:tcBorders>
          <w:top w:val="single" w:sz="4" w:space="0" w:color="27CED7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7CED7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27CED7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7CED7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27CED7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27CED7" w:themeColor="accent3" w:themeTint="FE" w:themeShade="95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2Horz">
      <w:rPr>
        <w:rFonts w:ascii="Arial" w:hAnsi="Arial"/>
        <w:color w:val="27CED7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right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rFonts w:ascii="Arial" w:hAnsi="Arial"/>
        <w:b/>
        <w:color w:val="8BD6C0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BD6C0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BD6C0" w:themeColor="accent4" w:themeTint="9A" w:themeShade="95"/>
        <w:sz w:val="22"/>
      </w:rPr>
      <w:tblPr/>
      <w:tcPr>
        <w:tcBorders>
          <w:top w:val="single" w:sz="4" w:space="0" w:color="8BD6C0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BD6C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BD6C0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  <w:insideV w:val="single" w:sz="4" w:space="0" w:color="85C798" w:themeColor="accent5" w:themeTint="90"/>
      </w:tblBorders>
    </w:tblPr>
    <w:tblStylePr w:type="firstRow">
      <w:rPr>
        <w:rFonts w:ascii="Arial" w:hAnsi="Arial"/>
        <w:b/>
        <w:color w:val="244F30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5C798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F30" w:themeColor="accent5" w:themeShade="95"/>
        <w:sz w:val="22"/>
      </w:rPr>
      <w:tblPr/>
      <w:tcPr>
        <w:tcBorders>
          <w:top w:val="single" w:sz="4" w:space="0" w:color="85C798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F30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5C798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F30" w:themeColor="accent5" w:themeShade="95"/>
        <w:sz w:val="22"/>
      </w:rPr>
      <w:tblPr/>
      <w:tcPr>
        <w:tcBorders>
          <w:top w:val="none" w:sz="0" w:space="0" w:color="000000"/>
          <w:left w:val="single" w:sz="4" w:space="0" w:color="85C798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  <w:insideV w:val="single" w:sz="4" w:space="0" w:color="A6CBC8" w:themeColor="accent6" w:themeTint="90"/>
      </w:tblBorders>
    </w:tblPr>
    <w:tblStylePr w:type="firstRow">
      <w:rPr>
        <w:rFonts w:ascii="Arial" w:hAnsi="Arial"/>
        <w:b/>
        <w:color w:val="38605D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CBC8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8605D" w:themeColor="accent6" w:themeShade="95"/>
        <w:sz w:val="22"/>
      </w:rPr>
      <w:tblPr/>
      <w:tcPr>
        <w:tcBorders>
          <w:top w:val="single" w:sz="4" w:space="0" w:color="A6CBC8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8605D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CBC8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8605D" w:themeColor="accent6" w:themeShade="95"/>
        <w:sz w:val="22"/>
      </w:rPr>
      <w:tblPr/>
      <w:tcPr>
        <w:tcBorders>
          <w:top w:val="none" w:sz="0" w:space="0" w:color="000000"/>
          <w:left w:val="single" w:sz="4" w:space="0" w:color="A6CBC8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38605D" w:themeColor="accent6" w:themeShade="95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2Horz">
      <w:rPr>
        <w:rFonts w:ascii="Arial" w:hAnsi="Arial"/>
        <w:color w:val="38605D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CADE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CADE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683C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683C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7CED7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2BA9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2BA9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E885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A39F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tblPr/>
      <w:tcPr>
        <w:shd w:val="clear" w:color="D7E8E6" w:themeColor="accent6" w:themeTint="40" w:fill="D7E8E6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bottom w:val="single" w:sz="4" w:space="0" w:color="7ED0EF" w:themeColor="accent1" w:themeTint="90"/>
        <w:insideH w:val="single" w:sz="4" w:space="0" w:color="7ED0E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D0EF" w:themeColor="accent1" w:themeTint="90"/>
          <w:left w:val="none" w:sz="4" w:space="0" w:color="000000"/>
          <w:bottom w:val="single" w:sz="4" w:space="0" w:color="7ED0E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D0EF" w:themeColor="accent1" w:themeTint="90"/>
          <w:left w:val="none" w:sz="4" w:space="0" w:color="000000"/>
          <w:bottom w:val="single" w:sz="4" w:space="0" w:color="7ED0E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bottom w:val="single" w:sz="4" w:space="0" w:color="7CB9E6" w:themeColor="accent2" w:themeTint="90"/>
        <w:insideH w:val="single" w:sz="4" w:space="0" w:color="7CB9E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CB9E6" w:themeColor="accent2" w:themeTint="90"/>
          <w:left w:val="none" w:sz="4" w:space="0" w:color="000000"/>
          <w:bottom w:val="single" w:sz="4" w:space="0" w:color="7CB9E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CB9E6" w:themeColor="accent2" w:themeTint="90"/>
          <w:left w:val="none" w:sz="4" w:space="0" w:color="000000"/>
          <w:bottom w:val="single" w:sz="4" w:space="0" w:color="7CB9E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bottom w:val="single" w:sz="4" w:space="0" w:color="84E3E8" w:themeColor="accent3" w:themeTint="90"/>
        <w:insideH w:val="single" w:sz="4" w:space="0" w:color="84E3E8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3E8" w:themeColor="accent3" w:themeTint="90"/>
          <w:left w:val="none" w:sz="4" w:space="0" w:color="000000"/>
          <w:bottom w:val="single" w:sz="4" w:space="0" w:color="84E3E8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3E8" w:themeColor="accent3" w:themeTint="90"/>
          <w:left w:val="none" w:sz="4" w:space="0" w:color="000000"/>
          <w:bottom w:val="single" w:sz="4" w:space="0" w:color="84E3E8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bottom w:val="single" w:sz="4" w:space="0" w:color="93D8C4" w:themeColor="accent4" w:themeTint="90"/>
        <w:insideH w:val="single" w:sz="4" w:space="0" w:color="93D8C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8C4" w:themeColor="accent4" w:themeTint="90"/>
          <w:left w:val="none" w:sz="4" w:space="0" w:color="000000"/>
          <w:bottom w:val="single" w:sz="4" w:space="0" w:color="93D8C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8C4" w:themeColor="accent4" w:themeTint="90"/>
          <w:left w:val="none" w:sz="4" w:space="0" w:color="000000"/>
          <w:bottom w:val="single" w:sz="4" w:space="0" w:color="93D8C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bottom w:val="single" w:sz="4" w:space="0" w:color="85C798" w:themeColor="accent5" w:themeTint="90"/>
        <w:insideH w:val="single" w:sz="4" w:space="0" w:color="85C798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bottom w:val="single" w:sz="4" w:space="0" w:color="A6CBC8" w:themeColor="accent6" w:themeTint="90"/>
        <w:insideH w:val="single" w:sz="4" w:space="0" w:color="A6CBC8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CADE4" w:themeColor="accent1"/>
          <w:bottom w:val="single" w:sz="4" w:space="0" w:color="1CADE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left w:val="single" w:sz="4" w:space="0" w:color="76B6E5" w:themeColor="accent2" w:themeTint="97"/>
        <w:bottom w:val="single" w:sz="4" w:space="0" w:color="76B6E5" w:themeColor="accent2" w:themeTint="97"/>
        <w:right w:val="single" w:sz="4" w:space="0" w:color="76B6E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6B6E5" w:themeColor="accent2" w:themeTint="97"/>
          <w:right w:val="single" w:sz="4" w:space="0" w:color="76B6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B6E5" w:themeColor="accent2" w:themeTint="97"/>
          <w:bottom w:val="single" w:sz="4" w:space="0" w:color="76B6E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E1E7" w:themeColor="accent3" w:themeTint="98"/>
        <w:left w:val="single" w:sz="4" w:space="0" w:color="7DE1E7" w:themeColor="accent3" w:themeTint="98"/>
        <w:bottom w:val="single" w:sz="4" w:space="0" w:color="7DE1E7" w:themeColor="accent3" w:themeTint="98"/>
        <w:right w:val="single" w:sz="4" w:space="0" w:color="7DE1E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DE1E7" w:themeColor="accent3" w:themeTint="98" w:fill="7DE1E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E1E7" w:themeColor="accent3" w:themeTint="98"/>
          <w:right w:val="single" w:sz="4" w:space="0" w:color="7DE1E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E1E7" w:themeColor="accent3" w:themeTint="98"/>
          <w:bottom w:val="single" w:sz="4" w:space="0" w:color="7DE1E7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left w:val="single" w:sz="4" w:space="0" w:color="8BD6C0" w:themeColor="accent4" w:themeTint="9A"/>
        <w:bottom w:val="single" w:sz="4" w:space="0" w:color="8BD6C0" w:themeColor="accent4" w:themeTint="9A"/>
        <w:right w:val="single" w:sz="4" w:space="0" w:color="8BD6C0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BD6C0" w:themeColor="accent4" w:themeTint="9A"/>
          <w:right w:val="single" w:sz="4" w:space="0" w:color="8BD6C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BD6C0" w:themeColor="accent4" w:themeTint="9A"/>
          <w:bottom w:val="single" w:sz="4" w:space="0" w:color="8BD6C0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491" w:themeColor="accent5" w:themeTint="9A"/>
        <w:left w:val="single" w:sz="4" w:space="0" w:color="7DC491" w:themeColor="accent5" w:themeTint="9A"/>
        <w:bottom w:val="single" w:sz="4" w:space="0" w:color="7DC491" w:themeColor="accent5" w:themeTint="9A"/>
        <w:right w:val="single" w:sz="4" w:space="0" w:color="7DC491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DC491" w:themeColor="accent5" w:themeTint="9A" w:fill="7DC491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C491" w:themeColor="accent5" w:themeTint="9A"/>
          <w:right w:val="single" w:sz="4" w:space="0" w:color="7DC49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C491" w:themeColor="accent5" w:themeTint="9A"/>
          <w:bottom w:val="single" w:sz="4" w:space="0" w:color="7DC491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8C5" w:themeColor="accent6" w:themeTint="98"/>
        <w:left w:val="single" w:sz="4" w:space="0" w:color="A1C8C5" w:themeColor="accent6" w:themeTint="98"/>
        <w:bottom w:val="single" w:sz="4" w:space="0" w:color="A1C8C5" w:themeColor="accent6" w:themeTint="98"/>
        <w:right w:val="single" w:sz="4" w:space="0" w:color="A1C8C5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1C8C5" w:themeColor="accent6" w:themeTint="98" w:fill="A1C8C5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8C5" w:themeColor="accent6" w:themeTint="98"/>
          <w:right w:val="single" w:sz="4" w:space="0" w:color="A1C8C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8C5" w:themeColor="accent6" w:themeTint="98"/>
          <w:bottom w:val="single" w:sz="4" w:space="0" w:color="A1C8C5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left w:val="single" w:sz="4" w:space="0" w:color="7ED0EF" w:themeColor="accent1" w:themeTint="90"/>
        <w:bottom w:val="single" w:sz="4" w:space="0" w:color="7ED0EF" w:themeColor="accent1" w:themeTint="90"/>
        <w:right w:val="single" w:sz="4" w:space="0" w:color="7ED0EF" w:themeColor="accent1" w:themeTint="90"/>
        <w:insideH w:val="single" w:sz="4" w:space="0" w:color="7ED0E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left w:val="single" w:sz="4" w:space="0" w:color="7CB9E6" w:themeColor="accent2" w:themeTint="90"/>
        <w:bottom w:val="single" w:sz="4" w:space="0" w:color="7CB9E6" w:themeColor="accent2" w:themeTint="90"/>
        <w:right w:val="single" w:sz="4" w:space="0" w:color="7CB9E6" w:themeColor="accent2" w:themeTint="90"/>
        <w:insideH w:val="single" w:sz="4" w:space="0" w:color="7CB9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left w:val="single" w:sz="4" w:space="0" w:color="84E3E8" w:themeColor="accent3" w:themeTint="90"/>
        <w:bottom w:val="single" w:sz="4" w:space="0" w:color="84E3E8" w:themeColor="accent3" w:themeTint="90"/>
        <w:right w:val="single" w:sz="4" w:space="0" w:color="84E3E8" w:themeColor="accent3" w:themeTint="90"/>
        <w:insideH w:val="single" w:sz="4" w:space="0" w:color="84E3E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left w:val="single" w:sz="4" w:space="0" w:color="93D8C4" w:themeColor="accent4" w:themeTint="90"/>
        <w:bottom w:val="single" w:sz="4" w:space="0" w:color="93D8C4" w:themeColor="accent4" w:themeTint="90"/>
        <w:right w:val="single" w:sz="4" w:space="0" w:color="93D8C4" w:themeColor="accent4" w:themeTint="90"/>
        <w:insideH w:val="single" w:sz="4" w:space="0" w:color="93D8C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left w:val="single" w:sz="4" w:space="0" w:color="85C798" w:themeColor="accent5" w:themeTint="90"/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left w:val="single" w:sz="4" w:space="0" w:color="A6CBC8" w:themeColor="accent6" w:themeTint="90"/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CADE4" w:themeColor="accent1"/>
        <w:left w:val="single" w:sz="32" w:space="0" w:color="1CADE4" w:themeColor="accent1"/>
        <w:bottom w:val="single" w:sz="32" w:space="0" w:color="1CADE4" w:themeColor="accent1"/>
        <w:right w:val="single" w:sz="32" w:space="0" w:color="1CADE4" w:themeColor="accent1"/>
      </w:tblBorders>
      <w:shd w:val="clear" w:color="1CADE4" w:themeColor="accent1" w:fill="1CADE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CADE4" w:themeColor="accent1"/>
          <w:bottom w:val="single" w:sz="12" w:space="0" w:color="FFFFFF" w:themeColor="light1"/>
        </w:tcBorders>
        <w:shd w:val="clear" w:color="1CADE4" w:themeColor="accent1" w:fill="1CADE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CADE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CADE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CADE4" w:themeColor="accent1" w:fill="1CADE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CADE4" w:themeColor="accent1" w:fill="1CADE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CADE4" w:themeColor="accent1" w:fill="1CADE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6B6E5" w:themeColor="accent2" w:themeTint="97"/>
        <w:left w:val="single" w:sz="32" w:space="0" w:color="76B6E5" w:themeColor="accent2" w:themeTint="97"/>
        <w:bottom w:val="single" w:sz="32" w:space="0" w:color="76B6E5" w:themeColor="accent2" w:themeTint="97"/>
        <w:right w:val="single" w:sz="32" w:space="0" w:color="76B6E5" w:themeColor="accent2" w:themeTint="97"/>
      </w:tblBorders>
      <w:shd w:val="clear" w:color="76B6E5" w:themeColor="accent2" w:themeTint="97" w:fill="76B6E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6B6E5" w:themeColor="accent2" w:themeTint="97"/>
          <w:bottom w:val="single" w:sz="12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6B6E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6B6E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DE1E7" w:themeColor="accent3" w:themeTint="98"/>
        <w:left w:val="single" w:sz="32" w:space="0" w:color="7DE1E7" w:themeColor="accent3" w:themeTint="98"/>
        <w:bottom w:val="single" w:sz="32" w:space="0" w:color="7DE1E7" w:themeColor="accent3" w:themeTint="98"/>
        <w:right w:val="single" w:sz="32" w:space="0" w:color="7DE1E7" w:themeColor="accent3" w:themeTint="98"/>
      </w:tblBorders>
      <w:shd w:val="clear" w:color="7DE1E7" w:themeColor="accent3" w:themeTint="98" w:fill="7DE1E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E1E7" w:themeColor="accent3" w:themeTint="98"/>
          <w:bottom w:val="single" w:sz="12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E1E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E1E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BD6C0" w:themeColor="accent4" w:themeTint="9A"/>
        <w:left w:val="single" w:sz="32" w:space="0" w:color="8BD6C0" w:themeColor="accent4" w:themeTint="9A"/>
        <w:bottom w:val="single" w:sz="32" w:space="0" w:color="8BD6C0" w:themeColor="accent4" w:themeTint="9A"/>
        <w:right w:val="single" w:sz="32" w:space="0" w:color="8BD6C0" w:themeColor="accent4" w:themeTint="9A"/>
      </w:tblBorders>
      <w:shd w:val="clear" w:color="8BD6C0" w:themeColor="accent4" w:themeTint="9A" w:fill="8BD6C0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BD6C0" w:themeColor="accent4" w:themeTint="9A"/>
          <w:bottom w:val="single" w:sz="12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BD6C0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BD6C0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DC491" w:themeColor="accent5" w:themeTint="9A"/>
        <w:left w:val="single" w:sz="32" w:space="0" w:color="7DC491" w:themeColor="accent5" w:themeTint="9A"/>
        <w:bottom w:val="single" w:sz="32" w:space="0" w:color="7DC491" w:themeColor="accent5" w:themeTint="9A"/>
        <w:right w:val="single" w:sz="32" w:space="0" w:color="7DC491" w:themeColor="accent5" w:themeTint="9A"/>
      </w:tblBorders>
      <w:shd w:val="clear" w:color="7DC491" w:themeColor="accent5" w:themeTint="9A" w:fill="7DC491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C491" w:themeColor="accent5" w:themeTint="9A"/>
          <w:bottom w:val="single" w:sz="12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C491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C491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1C8C5" w:themeColor="accent6" w:themeTint="98"/>
        <w:left w:val="single" w:sz="32" w:space="0" w:color="A1C8C5" w:themeColor="accent6" w:themeTint="98"/>
        <w:bottom w:val="single" w:sz="32" w:space="0" w:color="A1C8C5" w:themeColor="accent6" w:themeTint="98"/>
        <w:right w:val="single" w:sz="32" w:space="0" w:color="A1C8C5" w:themeColor="accent6" w:themeTint="98"/>
      </w:tblBorders>
      <w:shd w:val="clear" w:color="A1C8C5" w:themeColor="accent6" w:themeTint="98" w:fill="A1C8C5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8C5" w:themeColor="accent6" w:themeTint="98"/>
          <w:bottom w:val="single" w:sz="12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8C5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8C5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color w:val="106485" w:themeColor="accent1" w:themeShade="95"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color w:val="106485" w:themeColor="accent1" w:themeShade="95"/>
      </w:rPr>
      <w:tblPr/>
      <w:tcPr>
        <w:tcBorders>
          <w:top w:val="single" w:sz="4" w:space="0" w:color="1CADE4" w:themeColor="accent1"/>
        </w:tcBorders>
      </w:tcPr>
    </w:tblStylePr>
    <w:tblStylePr w:type="firstCol">
      <w:rPr>
        <w:b/>
        <w:color w:val="106485" w:themeColor="accent1" w:themeShade="95"/>
      </w:rPr>
    </w:tblStylePr>
    <w:tblStylePr w:type="lastCol">
      <w:rPr>
        <w:b/>
        <w:color w:val="106485" w:themeColor="accent1" w:themeShade="95"/>
      </w:r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106485" w:themeColor="accent1" w:themeShade="95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2Horz">
      <w:rPr>
        <w:rFonts w:ascii="Arial" w:hAnsi="Arial"/>
        <w:color w:val="10648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bottom w:val="single" w:sz="4" w:space="0" w:color="76B6E5" w:themeColor="accent2" w:themeTint="97"/>
      </w:tblBorders>
    </w:tblPr>
    <w:tblStylePr w:type="firstRow">
      <w:rPr>
        <w:b/>
        <w:color w:val="76B6E5" w:themeColor="accent2" w:themeTint="97" w:themeShade="95"/>
      </w:rPr>
      <w:tblPr/>
      <w:tcPr>
        <w:tcBorders>
          <w:bottom w:val="single" w:sz="4" w:space="0" w:color="76B6E5" w:themeColor="accent2" w:themeTint="97"/>
        </w:tcBorders>
      </w:tcPr>
    </w:tblStylePr>
    <w:tblStylePr w:type="lastRow">
      <w:rPr>
        <w:b/>
        <w:color w:val="76B6E5" w:themeColor="accent2" w:themeTint="97" w:themeShade="95"/>
      </w:rPr>
      <w:tblPr/>
      <w:tcPr>
        <w:tcBorders>
          <w:top w:val="single" w:sz="4" w:space="0" w:color="76B6E5" w:themeColor="accent2" w:themeTint="97"/>
        </w:tcBorders>
      </w:tcPr>
    </w:tblStylePr>
    <w:tblStylePr w:type="firstCol">
      <w:rPr>
        <w:b/>
        <w:color w:val="76B6E5" w:themeColor="accent2" w:themeTint="97" w:themeShade="95"/>
      </w:rPr>
    </w:tblStylePr>
    <w:tblStylePr w:type="lastCol">
      <w:rPr>
        <w:b/>
        <w:color w:val="76B6E5" w:themeColor="accent2" w:themeTint="97" w:themeShade="95"/>
      </w:r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E1E7" w:themeColor="accent3" w:themeTint="98"/>
        <w:bottom w:val="single" w:sz="4" w:space="0" w:color="7DE1E7" w:themeColor="accent3" w:themeTint="98"/>
      </w:tblBorders>
    </w:tblPr>
    <w:tblStylePr w:type="firstRow">
      <w:rPr>
        <w:b/>
        <w:color w:val="7DE1E7" w:themeColor="accent3" w:themeTint="98" w:themeShade="95"/>
      </w:rPr>
      <w:tblPr/>
      <w:tcPr>
        <w:tcBorders>
          <w:bottom w:val="single" w:sz="4" w:space="0" w:color="7DE1E7" w:themeColor="accent3" w:themeTint="98"/>
        </w:tcBorders>
      </w:tcPr>
    </w:tblStylePr>
    <w:tblStylePr w:type="lastRow">
      <w:rPr>
        <w:b/>
        <w:color w:val="7DE1E7" w:themeColor="accent3" w:themeTint="98" w:themeShade="95"/>
      </w:rPr>
      <w:tblPr/>
      <w:tcPr>
        <w:tcBorders>
          <w:top w:val="single" w:sz="4" w:space="0" w:color="7DE1E7" w:themeColor="accent3" w:themeTint="98"/>
        </w:tcBorders>
      </w:tcPr>
    </w:tblStylePr>
    <w:tblStylePr w:type="firstCol">
      <w:rPr>
        <w:b/>
        <w:color w:val="7DE1E7" w:themeColor="accent3" w:themeTint="98" w:themeShade="95"/>
      </w:rPr>
    </w:tblStylePr>
    <w:tblStylePr w:type="lastCol">
      <w:rPr>
        <w:b/>
        <w:color w:val="7DE1E7" w:themeColor="accent3" w:themeTint="98" w:themeShade="95"/>
      </w:r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7DE1E7" w:themeColor="accent3" w:themeTint="98" w:themeShade="95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2Horz">
      <w:rPr>
        <w:rFonts w:ascii="Arial" w:hAnsi="Arial"/>
        <w:color w:val="7DE1E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bottom w:val="single" w:sz="4" w:space="0" w:color="8BD6C0" w:themeColor="accent4" w:themeTint="9A"/>
      </w:tblBorders>
    </w:tblPr>
    <w:tblStylePr w:type="firstRow">
      <w:rPr>
        <w:b/>
        <w:color w:val="8BD6C0" w:themeColor="accent4" w:themeTint="9A" w:themeShade="95"/>
      </w:rPr>
      <w:tblPr/>
      <w:tcPr>
        <w:tcBorders>
          <w:bottom w:val="single" w:sz="4" w:space="0" w:color="8BD6C0" w:themeColor="accent4" w:themeTint="9A"/>
        </w:tcBorders>
      </w:tcPr>
    </w:tblStylePr>
    <w:tblStylePr w:type="lastRow">
      <w:rPr>
        <w:b/>
        <w:color w:val="8BD6C0" w:themeColor="accent4" w:themeTint="9A" w:themeShade="95"/>
      </w:rPr>
      <w:tblPr/>
      <w:tcPr>
        <w:tcBorders>
          <w:top w:val="single" w:sz="4" w:space="0" w:color="8BD6C0" w:themeColor="accent4" w:themeTint="9A"/>
        </w:tcBorders>
      </w:tcPr>
    </w:tblStylePr>
    <w:tblStylePr w:type="firstCol">
      <w:rPr>
        <w:b/>
        <w:color w:val="8BD6C0" w:themeColor="accent4" w:themeTint="9A" w:themeShade="95"/>
      </w:rPr>
    </w:tblStylePr>
    <w:tblStylePr w:type="lastCol">
      <w:rPr>
        <w:b/>
        <w:color w:val="8BD6C0" w:themeColor="accent4" w:themeTint="9A" w:themeShade="95"/>
      </w:r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491" w:themeColor="accent5" w:themeTint="9A"/>
        <w:bottom w:val="single" w:sz="4" w:space="0" w:color="7DC491" w:themeColor="accent5" w:themeTint="9A"/>
      </w:tblBorders>
    </w:tblPr>
    <w:tblStylePr w:type="firstRow">
      <w:rPr>
        <w:b/>
        <w:color w:val="7DC491" w:themeColor="accent5" w:themeTint="9A" w:themeShade="95"/>
      </w:rPr>
      <w:tblPr/>
      <w:tcPr>
        <w:tcBorders>
          <w:bottom w:val="single" w:sz="4" w:space="0" w:color="7DC491" w:themeColor="accent5" w:themeTint="9A"/>
        </w:tcBorders>
      </w:tcPr>
    </w:tblStylePr>
    <w:tblStylePr w:type="lastRow">
      <w:rPr>
        <w:b/>
        <w:color w:val="7DC491" w:themeColor="accent5" w:themeTint="9A" w:themeShade="95"/>
      </w:rPr>
      <w:tblPr/>
      <w:tcPr>
        <w:tcBorders>
          <w:top w:val="single" w:sz="4" w:space="0" w:color="7DC491" w:themeColor="accent5" w:themeTint="9A"/>
        </w:tcBorders>
      </w:tcPr>
    </w:tblStylePr>
    <w:tblStylePr w:type="firstCol">
      <w:rPr>
        <w:b/>
        <w:color w:val="7DC491" w:themeColor="accent5" w:themeTint="9A" w:themeShade="95"/>
      </w:rPr>
    </w:tblStylePr>
    <w:tblStylePr w:type="lastCol">
      <w:rPr>
        <w:b/>
        <w:color w:val="7DC491" w:themeColor="accent5" w:themeTint="9A" w:themeShade="95"/>
      </w:r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7DC491" w:themeColor="accent5" w:themeTint="9A" w:themeShade="95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2Horz">
      <w:rPr>
        <w:rFonts w:ascii="Arial" w:hAnsi="Arial"/>
        <w:color w:val="7DC491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8C5" w:themeColor="accent6" w:themeTint="98"/>
        <w:bottom w:val="single" w:sz="4" w:space="0" w:color="A1C8C5" w:themeColor="accent6" w:themeTint="98"/>
      </w:tblBorders>
    </w:tblPr>
    <w:tblStylePr w:type="firstRow">
      <w:rPr>
        <w:b/>
        <w:color w:val="A1C8C5" w:themeColor="accent6" w:themeTint="98" w:themeShade="95"/>
      </w:rPr>
      <w:tblPr/>
      <w:tcPr>
        <w:tcBorders>
          <w:bottom w:val="single" w:sz="4" w:space="0" w:color="A1C8C5" w:themeColor="accent6" w:themeTint="98"/>
        </w:tcBorders>
      </w:tcPr>
    </w:tblStylePr>
    <w:tblStylePr w:type="lastRow">
      <w:rPr>
        <w:b/>
        <w:color w:val="A1C8C5" w:themeColor="accent6" w:themeTint="98" w:themeShade="95"/>
      </w:rPr>
      <w:tblPr/>
      <w:tcPr>
        <w:tcBorders>
          <w:top w:val="single" w:sz="4" w:space="0" w:color="A1C8C5" w:themeColor="accent6" w:themeTint="98"/>
        </w:tcBorders>
      </w:tcPr>
    </w:tblStylePr>
    <w:tblStylePr w:type="firstCol">
      <w:rPr>
        <w:b/>
        <w:color w:val="A1C8C5" w:themeColor="accent6" w:themeTint="98" w:themeShade="95"/>
      </w:rPr>
    </w:tblStylePr>
    <w:tblStylePr w:type="lastCol">
      <w:rPr>
        <w:b/>
        <w:color w:val="A1C8C5" w:themeColor="accent6" w:themeTint="98" w:themeShade="95"/>
      </w:r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A1C8C5" w:themeColor="accent6" w:themeTint="98" w:themeShade="95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2Horz">
      <w:rPr>
        <w:rFonts w:ascii="Arial" w:hAnsi="Arial"/>
        <w:color w:val="A1C8C5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CADE4" w:themeColor="accent1"/>
      </w:tblBorders>
    </w:tblPr>
    <w:tblStylePr w:type="firstRow"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CADE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06485" w:themeColor="accent1" w:themeShade="95"/>
        <w:sz w:val="22"/>
      </w:rPr>
      <w:tblPr/>
      <w:tcPr>
        <w:tcBorders>
          <w:top w:val="single" w:sz="4" w:space="0" w:color="1CADE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CADE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0" w:space="0" w:color="000000"/>
          <w:left w:val="single" w:sz="4" w:space="0" w:color="1CADE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106485" w:themeColor="accent1" w:themeShade="95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2Horz">
      <w:rPr>
        <w:rFonts w:ascii="Arial" w:hAnsi="Arial"/>
        <w:color w:val="10648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6B6E5" w:themeColor="accent2" w:themeTint="97"/>
      </w:tblBorders>
    </w:tblPr>
    <w:tblStylePr w:type="firstRow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6B6E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single" w:sz="4" w:space="0" w:color="76B6E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6B6E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76B6E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DE1E7" w:themeColor="accent3" w:themeTint="98"/>
      </w:tblBorders>
    </w:tblPr>
    <w:tblStylePr w:type="firstRow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DE1E7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single" w:sz="4" w:space="0" w:color="7DE1E7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DE1E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7DE1E7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7DE1E7" w:themeColor="accent3" w:themeTint="98" w:themeShade="95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2Horz">
      <w:rPr>
        <w:rFonts w:ascii="Arial" w:hAnsi="Arial"/>
        <w:color w:val="7DE1E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BD6C0" w:themeColor="accent4" w:themeTint="9A"/>
      </w:tblBorders>
    </w:tblPr>
    <w:tblStylePr w:type="firstRow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BD6C0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single" w:sz="4" w:space="0" w:color="8BD6C0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BD6C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BD6C0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DC491" w:themeColor="accent5" w:themeTint="9A"/>
      </w:tblBorders>
    </w:tblPr>
    <w:tblStylePr w:type="firstRow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DC491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single" w:sz="4" w:space="0" w:color="7DC491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DC491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7DC491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7DC491" w:themeColor="accent5" w:themeTint="9A" w:themeShade="95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2Horz">
      <w:rPr>
        <w:rFonts w:ascii="Arial" w:hAnsi="Arial"/>
        <w:color w:val="7DC491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1C8C5" w:themeColor="accent6" w:themeTint="98"/>
      </w:tblBorders>
    </w:tblPr>
    <w:tblStylePr w:type="firstRow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1C8C5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single" w:sz="4" w:space="0" w:color="A1C8C5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1C8C5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1C8C5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A1C8C5" w:themeColor="accent6" w:themeTint="98" w:themeShade="95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2Horz">
      <w:rPr>
        <w:rFonts w:ascii="Arial" w:hAnsi="Arial"/>
        <w:color w:val="A1C8C5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06485" w:themeColor="accent1" w:themeShade="95"/>
        <w:left w:val="single" w:sz="4" w:space="0" w:color="106485" w:themeColor="accent1" w:themeShade="95"/>
        <w:bottom w:val="single" w:sz="4" w:space="0" w:color="106485" w:themeColor="accent1" w:themeShade="95"/>
        <w:right w:val="single" w:sz="4" w:space="0" w:color="106485" w:themeColor="accent1" w:themeShade="95"/>
        <w:insideH w:val="single" w:sz="4" w:space="0" w:color="106485" w:themeColor="accent1" w:themeShade="95"/>
        <w:insideV w:val="single" w:sz="4" w:space="0" w:color="10648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64C73" w:themeColor="accent2" w:themeShade="95"/>
        <w:left w:val="single" w:sz="4" w:space="0" w:color="164C73" w:themeColor="accent2" w:themeShade="95"/>
        <w:bottom w:val="single" w:sz="4" w:space="0" w:color="164C73" w:themeColor="accent2" w:themeShade="95"/>
        <w:right w:val="single" w:sz="4" w:space="0" w:color="164C73" w:themeColor="accent2" w:themeShade="95"/>
        <w:insideH w:val="single" w:sz="4" w:space="0" w:color="164C73" w:themeColor="accent2" w:themeShade="95"/>
        <w:insideV w:val="single" w:sz="4" w:space="0" w:color="164C73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6777D" w:themeColor="accent3" w:themeShade="95"/>
        <w:left w:val="single" w:sz="4" w:space="0" w:color="16777D" w:themeColor="accent3" w:themeShade="95"/>
        <w:bottom w:val="single" w:sz="4" w:space="0" w:color="16777D" w:themeColor="accent3" w:themeShade="95"/>
        <w:right w:val="single" w:sz="4" w:space="0" w:color="16777D" w:themeColor="accent3" w:themeShade="95"/>
        <w:insideH w:val="single" w:sz="4" w:space="0" w:color="16777D" w:themeColor="accent3" w:themeShade="95"/>
        <w:insideV w:val="single" w:sz="4" w:space="0" w:color="16777D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C57" w:themeColor="accent4" w:themeShade="95"/>
        <w:left w:val="single" w:sz="4" w:space="0" w:color="266C57" w:themeColor="accent4" w:themeShade="95"/>
        <w:bottom w:val="single" w:sz="4" w:space="0" w:color="266C57" w:themeColor="accent4" w:themeShade="95"/>
        <w:right w:val="single" w:sz="4" w:space="0" w:color="266C57" w:themeColor="accent4" w:themeShade="95"/>
        <w:insideH w:val="single" w:sz="4" w:space="0" w:color="266C57" w:themeColor="accent4" w:themeShade="95"/>
        <w:insideV w:val="single" w:sz="4" w:space="0" w:color="266C5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4F30" w:themeColor="accent5" w:themeShade="95"/>
        <w:left w:val="single" w:sz="4" w:space="0" w:color="244F30" w:themeColor="accent5" w:themeShade="95"/>
        <w:bottom w:val="single" w:sz="4" w:space="0" w:color="244F30" w:themeColor="accent5" w:themeShade="95"/>
        <w:right w:val="single" w:sz="4" w:space="0" w:color="244F30" w:themeColor="accent5" w:themeShade="95"/>
        <w:insideH w:val="single" w:sz="4" w:space="0" w:color="244F30" w:themeColor="accent5" w:themeShade="95"/>
        <w:insideV w:val="single" w:sz="4" w:space="0" w:color="244F3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8605D" w:themeColor="accent6" w:themeShade="95"/>
        <w:left w:val="single" w:sz="4" w:space="0" w:color="38605D" w:themeColor="accent6" w:themeShade="95"/>
        <w:bottom w:val="single" w:sz="4" w:space="0" w:color="38605D" w:themeColor="accent6" w:themeShade="95"/>
        <w:right w:val="single" w:sz="4" w:space="0" w:color="38605D" w:themeColor="accent6" w:themeShade="95"/>
        <w:insideH w:val="single" w:sz="4" w:space="0" w:color="38605D" w:themeColor="accent6" w:themeShade="95"/>
        <w:insideV w:val="single" w:sz="4" w:space="0" w:color="38605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DDF4" w:themeColor="accent1" w:themeTint="67"/>
        <w:left w:val="single" w:sz="4" w:space="0" w:color="A3DDF4" w:themeColor="accent1" w:themeTint="67"/>
        <w:bottom w:val="single" w:sz="4" w:space="0" w:color="A3DDF4" w:themeColor="accent1" w:themeTint="67"/>
        <w:right w:val="single" w:sz="4" w:space="0" w:color="A3DDF4" w:themeColor="accent1" w:themeTint="67"/>
        <w:insideH w:val="single" w:sz="4" w:space="0" w:color="A3DDF4" w:themeColor="accent1" w:themeTint="67"/>
        <w:insideV w:val="single" w:sz="4" w:space="0" w:color="A3DDF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CADE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CADE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CADE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DDF4" w:themeColor="accent1" w:themeTint="67"/>
          <w:left w:val="single" w:sz="4" w:space="0" w:color="A3DDF4" w:themeColor="accent1" w:themeTint="67"/>
          <w:bottom w:val="single" w:sz="4" w:space="0" w:color="A3DDF4" w:themeColor="accent1" w:themeTint="67"/>
          <w:right w:val="single" w:sz="4" w:space="0" w:color="A3DDF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DED" w:themeColor="accent2" w:themeTint="67"/>
        <w:left w:val="single" w:sz="4" w:space="0" w:color="A1CDED" w:themeColor="accent2" w:themeTint="67"/>
        <w:bottom w:val="single" w:sz="4" w:space="0" w:color="A1CDED" w:themeColor="accent2" w:themeTint="67"/>
        <w:right w:val="single" w:sz="4" w:space="0" w:color="A1CDED" w:themeColor="accent2" w:themeTint="67"/>
        <w:insideH w:val="single" w:sz="4" w:space="0" w:color="A1CDED" w:themeColor="accent2" w:themeTint="67"/>
        <w:insideV w:val="single" w:sz="4" w:space="0" w:color="A1CDE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6B6E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6B6E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6B6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DED" w:themeColor="accent2" w:themeTint="67"/>
          <w:left w:val="single" w:sz="4" w:space="0" w:color="A1CDED" w:themeColor="accent2" w:themeTint="67"/>
          <w:bottom w:val="single" w:sz="4" w:space="0" w:color="A1CDED" w:themeColor="accent2" w:themeTint="67"/>
          <w:right w:val="single" w:sz="4" w:space="0" w:color="A1CDED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7EBEF" w:themeColor="accent3" w:themeTint="67"/>
        <w:left w:val="single" w:sz="4" w:space="0" w:color="A7EBEF" w:themeColor="accent3" w:themeTint="67"/>
        <w:bottom w:val="single" w:sz="4" w:space="0" w:color="A7EBEF" w:themeColor="accent3" w:themeTint="67"/>
        <w:right w:val="single" w:sz="4" w:space="0" w:color="A7EBEF" w:themeColor="accent3" w:themeTint="67"/>
        <w:insideH w:val="single" w:sz="4" w:space="0" w:color="A7EBEF" w:themeColor="accent3" w:themeTint="67"/>
        <w:insideV w:val="single" w:sz="4" w:space="0" w:color="A7EBE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E1E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E1E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E1E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BEF" w:themeColor="accent3" w:themeTint="67"/>
          <w:left w:val="single" w:sz="4" w:space="0" w:color="A7EBEF" w:themeColor="accent3" w:themeTint="67"/>
          <w:bottom w:val="single" w:sz="4" w:space="0" w:color="A7EBEF" w:themeColor="accent3" w:themeTint="67"/>
          <w:right w:val="single" w:sz="4" w:space="0" w:color="A7EBE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3D5" w:themeColor="accent4" w:themeTint="67"/>
        <w:left w:val="single" w:sz="4" w:space="0" w:color="B2E3D5" w:themeColor="accent4" w:themeTint="67"/>
        <w:bottom w:val="single" w:sz="4" w:space="0" w:color="B2E3D5" w:themeColor="accent4" w:themeTint="67"/>
        <w:right w:val="single" w:sz="4" w:space="0" w:color="B2E3D5" w:themeColor="accent4" w:themeTint="67"/>
        <w:insideH w:val="single" w:sz="4" w:space="0" w:color="B2E3D5" w:themeColor="accent4" w:themeTint="67"/>
        <w:insideV w:val="single" w:sz="4" w:space="0" w:color="B2E3D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BD6C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BD6C0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BD6C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3D5" w:themeColor="accent4" w:themeTint="67"/>
          <w:left w:val="single" w:sz="4" w:space="0" w:color="B2E3D5" w:themeColor="accent4" w:themeTint="67"/>
          <w:bottom w:val="single" w:sz="4" w:space="0" w:color="B2E3D5" w:themeColor="accent4" w:themeTint="67"/>
          <w:right w:val="single" w:sz="4" w:space="0" w:color="B2E3D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D7B5" w:themeColor="accent5" w:themeTint="67"/>
        <w:left w:val="single" w:sz="4" w:space="0" w:color="A8D7B5" w:themeColor="accent5" w:themeTint="67"/>
        <w:bottom w:val="single" w:sz="4" w:space="0" w:color="A8D7B5" w:themeColor="accent5" w:themeTint="67"/>
        <w:right w:val="single" w:sz="4" w:space="0" w:color="A8D7B5" w:themeColor="accent5" w:themeTint="67"/>
        <w:insideH w:val="single" w:sz="4" w:space="0" w:color="A8D7B5" w:themeColor="accent5" w:themeTint="67"/>
        <w:insideV w:val="single" w:sz="4" w:space="0" w:color="A8D7B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C491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C491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C49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7B5" w:themeColor="accent5" w:themeTint="67"/>
          <w:left w:val="single" w:sz="4" w:space="0" w:color="A8D7B5" w:themeColor="accent5" w:themeTint="67"/>
          <w:bottom w:val="single" w:sz="4" w:space="0" w:color="A8D7B5" w:themeColor="accent5" w:themeTint="67"/>
          <w:right w:val="single" w:sz="4" w:space="0" w:color="A8D7B5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9D8" w:themeColor="accent6" w:themeTint="67"/>
        <w:left w:val="single" w:sz="4" w:space="0" w:color="BFD9D8" w:themeColor="accent6" w:themeTint="67"/>
        <w:bottom w:val="single" w:sz="4" w:space="0" w:color="BFD9D8" w:themeColor="accent6" w:themeTint="67"/>
        <w:right w:val="single" w:sz="4" w:space="0" w:color="BFD9D8" w:themeColor="accent6" w:themeTint="67"/>
        <w:insideH w:val="single" w:sz="4" w:space="0" w:color="BFD9D8" w:themeColor="accent6" w:themeTint="67"/>
        <w:insideV w:val="single" w:sz="4" w:space="0" w:color="BFD9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8C5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8C5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8C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9D8" w:themeColor="accent6" w:themeTint="67"/>
          <w:left w:val="single" w:sz="4" w:space="0" w:color="BFD9D8" w:themeColor="accent6" w:themeTint="67"/>
          <w:bottom w:val="single" w:sz="4" w:space="0" w:color="BFD9D8" w:themeColor="accent6" w:themeTint="67"/>
          <w:right w:val="single" w:sz="4" w:space="0" w:color="BFD9D8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6EAC1C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prstGeom prst="rect">
          <a:avLst/>
        </a:prstGeom>
        <a:noFill/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D4-442B-8E7C-0146EF8D5278}"/>
              </c:ext>
            </c:extLst>
          </c:dPt>
          <c:dPt>
            <c:idx val="1"/>
            <c:bubble3D val="0"/>
            <c:spPr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D4-442B-8E7C-0146EF8D5278}"/>
              </c:ext>
            </c:extLst>
          </c:dPt>
          <c:dPt>
            <c:idx val="2"/>
            <c:bubble3D val="0"/>
            <c:spPr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D4-442B-8E7C-0146EF8D5278}"/>
              </c:ext>
            </c:extLst>
          </c:dPt>
          <c:dPt>
            <c:idx val="3"/>
            <c:bubble3D val="0"/>
            <c:spPr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DD4-442B-8E7C-0146EF8D5278}"/>
              </c:ext>
            </c:extLst>
          </c:dPt>
          <c:dLbls>
            <c:dLbl>
              <c:idx val="0"/>
              <c:layout>
                <c:manualLayout>
                  <c:x val="-1.6587999999999999E-2"/>
                  <c:y val="-9.81839999999999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D4-442B-8E7C-0146EF8D527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D4-442B-8E7C-0146EF8D527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D4-442B-8E7C-0146EF8D52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578</c:v>
                </c:pt>
                <c:pt idx="1">
                  <c:v>21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D4-442B-8E7C-0146EF8D5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rstGeom prst="rect">
              <a:avLst/>
            </a:prstGeom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632</c:v>
                </c:pt>
                <c:pt idx="1">
                  <c:v>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30-4037-A52A-FA44D0CD5A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6806872"/>
        <c:axId val="366807264"/>
      </c:barChart>
      <c:catAx>
        <c:axId val="366806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07264"/>
        <c:crosses val="autoZero"/>
        <c:auto val="1"/>
        <c:lblAlgn val="ctr"/>
        <c:lblOffset val="100"/>
        <c:noMultiLvlLbl val="0"/>
      </c:catAx>
      <c:valAx>
        <c:axId val="366807264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06872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99-49E5-90A1-8F0882189119}"/>
              </c:ext>
            </c:extLst>
          </c:dPt>
          <c:dPt>
            <c:idx val="1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2"/>
                  </a:gs>
                  <a:gs pos="10000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99-49E5-90A1-8F0882189119}"/>
              </c:ext>
            </c:extLst>
          </c:dPt>
          <c:dPt>
            <c:idx val="2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99-49E5-90A1-8F0882189119}"/>
              </c:ext>
            </c:extLst>
          </c:dPt>
          <c:dPt>
            <c:idx val="3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4"/>
                  </a:gs>
                  <a:gs pos="10000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99-49E5-90A1-8F0882189119}"/>
              </c:ext>
            </c:extLst>
          </c:dPt>
          <c:dPt>
            <c:idx val="4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899-49E5-90A1-8F0882189119}"/>
              </c:ext>
            </c:extLst>
          </c:dPt>
          <c:dPt>
            <c:idx val="5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6"/>
                  </a:gs>
                  <a:gs pos="100000">
                    <a:schemeClr val="accent6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899-49E5-90A1-8F0882189119}"/>
              </c:ext>
            </c:extLst>
          </c:dPt>
          <c:dPt>
            <c:idx val="6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1">
                      <a:lumMod val="60000"/>
                    </a:schemeClr>
                  </a:gs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899-49E5-90A1-8F0882189119}"/>
              </c:ext>
            </c:extLst>
          </c:dPt>
          <c:dPt>
            <c:idx val="7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2">
                      <a:lumMod val="60000"/>
                    </a:schemeClr>
                  </a:gs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899-49E5-90A1-8F0882189119}"/>
              </c:ext>
            </c:extLst>
          </c:dPt>
          <c:dPt>
            <c:idx val="8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3">
                      <a:lumMod val="60000"/>
                    </a:schemeClr>
                  </a:gs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899-49E5-90A1-8F0882189119}"/>
              </c:ext>
            </c:extLst>
          </c:dPt>
          <c:dPt>
            <c:idx val="9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4">
                      <a:lumMod val="60000"/>
                    </a:schemeClr>
                  </a:gs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899-49E5-90A1-8F0882189119}"/>
              </c:ext>
            </c:extLst>
          </c:dPt>
          <c:dPt>
            <c:idx val="10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5">
                      <a:lumMod val="60000"/>
                    </a:schemeClr>
                  </a:gs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899-49E5-90A1-8F0882189119}"/>
              </c:ext>
            </c:extLst>
          </c:dPt>
          <c:dPt>
            <c:idx val="11"/>
            <c:bubble3D val="0"/>
            <c:spPr>
              <a:prstGeom prst="rect">
                <a:avLst/>
              </a:prstGeom>
              <a:gradFill>
                <a:gsLst>
                  <a:gs pos="0">
                    <a:schemeClr val="accent6">
                      <a:lumMod val="60000"/>
                    </a:schemeClr>
                  </a:gs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899-49E5-90A1-8F08821891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prstGeom prst="rect">
                  <a:avLst/>
                </a:prstGeom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Лист1!$A$2:$A$13</c:f>
              <c:strCache>
                <c:ptCount val="12"/>
                <c:pt idx="0">
                  <c:v>ТБО</c:v>
                </c:pt>
                <c:pt idx="1">
                  <c:v>Деятельность УК и ГЖИ НСО</c:v>
                </c:pt>
                <c:pt idx="2">
                  <c:v>Капитальный ремонт МКД</c:v>
                </c:pt>
                <c:pt idx="3">
                  <c:v>Газификация</c:v>
                </c:pt>
                <c:pt idx="4">
                  <c:v>Переселение из аварийного и ветхого жилья</c:v>
                </c:pt>
                <c:pt idx="5">
                  <c:v>Водоснабжение</c:v>
                </c:pt>
                <c:pt idx="6">
                  <c:v>Оплата за коммунальные услуги, отопление, взносы на капремонт</c:v>
                </c:pt>
                <c:pt idx="7">
                  <c:v>Благоустройство</c:v>
                </c:pt>
                <c:pt idx="8">
                  <c:v>Теплоснабжение</c:v>
                </c:pt>
                <c:pt idx="9">
                  <c:v>Электроснабжение</c:v>
                </c:pt>
                <c:pt idx="10">
                  <c:v>Канализация</c:v>
                </c:pt>
                <c:pt idx="11">
                  <c:v>ЧС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121</c:v>
                </c:pt>
                <c:pt idx="1">
                  <c:v>45</c:v>
                </c:pt>
                <c:pt idx="2">
                  <c:v>122</c:v>
                </c:pt>
                <c:pt idx="3">
                  <c:v>58</c:v>
                </c:pt>
                <c:pt idx="4">
                  <c:v>55</c:v>
                </c:pt>
                <c:pt idx="5">
                  <c:v>52</c:v>
                </c:pt>
                <c:pt idx="6">
                  <c:v>15</c:v>
                </c:pt>
                <c:pt idx="7">
                  <c:v>37</c:v>
                </c:pt>
                <c:pt idx="8">
                  <c:v>40</c:v>
                </c:pt>
                <c:pt idx="9">
                  <c:v>35</c:v>
                </c:pt>
                <c:pt idx="10">
                  <c:v>4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899-49E5-90A1-8F088218911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prstGeom prst="rect">
          <a:avLst/>
        </a:prstGeom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44100000000005"/>
          <c:y val="2.3067000000000001E-2"/>
          <c:w val="0.32956200000000002"/>
          <c:h val="0.95754499999999998"/>
        </c:manualLayout>
      </c:layout>
      <c:overlay val="0"/>
      <c:spPr>
        <a:prstGeom prst="rect">
          <a:avLst/>
        </a:prstGeom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6B71-029D-4B8C-BD54-6A9711BE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2042</Words>
  <Characters>11641</Characters>
  <Application>Microsoft Office Word</Application>
  <DocSecurity>0</DocSecurity>
  <Lines>97</Lines>
  <Paragraphs>27</Paragraphs>
  <ScaleCrop>false</ScaleCrop>
  <Company>АГНОиПНО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Михалицына Полина Евгеньевна</dc:creator>
  <cp:lastModifiedBy>Григорьева Наталья Викторовна</cp:lastModifiedBy>
  <cp:revision>26</cp:revision>
  <dcterms:created xsi:type="dcterms:W3CDTF">2024-05-20T04:05:00Z</dcterms:created>
  <dcterms:modified xsi:type="dcterms:W3CDTF">2024-05-22T04:26:00Z</dcterms:modified>
</cp:coreProperties>
</file>