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</w:pPr>
      <w:r>
        <w:t xml:space="preserve">МИНИСТЕРСТВО </w:t>
      </w:r>
      <w:r/>
      <w:r>
        <w:t xml:space="preserve">ЖИЛИЩНО-КОММУНАЛЬНОГО ХОЗЯЙСТВА И ЭНЕРГЕТИКИ НОВОСИБИРСКОЙ ОБЛАСТИ</w:t>
      </w:r>
      <w:r/>
      <w:r/>
    </w:p>
    <w:p>
      <w:pPr>
        <w:jc w:val="center"/>
        <w:spacing w:after="0"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after="0" w:line="240" w:lineRule="auto"/>
        <w:rPr>
          <w:szCs w:val="28"/>
        </w:rPr>
      </w:pPr>
      <w:r>
        <w:rPr>
          <w:szCs w:val="28"/>
        </w:rPr>
        <w:t xml:space="preserve">УТОЧНЕННАЯ АНАЛИТИЧЕСКАЯ ЗАПИСКА</w:t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after="0" w:line="240" w:lineRule="auto"/>
        <w:rPr>
          <w:szCs w:val="28"/>
        </w:rPr>
      </w:pPr>
      <w:r>
        <w:rPr>
          <w:szCs w:val="28"/>
        </w:rPr>
        <w:t xml:space="preserve">к отчету о реализации государственной программы Новосибирской области </w:t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after="0" w:line="240" w:lineRule="auto"/>
        <w:rPr>
          <w:szCs w:val="28"/>
        </w:rPr>
      </w:pPr>
      <w:r>
        <w:rPr>
          <w:szCs w:val="28"/>
        </w:rPr>
        <w:t xml:space="preserve">«Обеспечение безопасности жизнедеятельности населения Новосибирской области» за 202</w:t>
      </w:r>
      <w:r>
        <w:rPr>
          <w:szCs w:val="28"/>
        </w:rPr>
        <w:t xml:space="preserve">3</w:t>
      </w:r>
      <w:r>
        <w:rPr>
          <w:szCs w:val="28"/>
        </w:rPr>
        <w:t xml:space="preserve"> год</w:t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after="0"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after="0" w:line="240" w:lineRule="auto"/>
        <w:rPr>
          <w:rFonts w:eastAsia="Times New Roman" w:cs="Times New Roman"/>
          <w:color w:val="000000"/>
          <w:szCs w:val="28"/>
          <w:highlight w:val="white"/>
        </w:rPr>
      </w:pPr>
      <w:r>
        <w:rPr>
          <w:rFonts w:eastAsia="Times New Roman" w:cs="Times New Roman"/>
          <w:color w:val="000000"/>
          <w:szCs w:val="28"/>
        </w:rPr>
        <w:t xml:space="preserve">Версия отчета №</w:t>
      </w:r>
      <w:r>
        <w:rPr>
          <w:rFonts w:eastAsia="Times New Roman" w:cs="Times New Roman"/>
          <w:color w:val="000000"/>
          <w:szCs w:val="28"/>
          <w:highlight w:val="white"/>
        </w:rPr>
        <w:t xml:space="preserve"> </w:t>
      </w:r>
      <w:r>
        <w:rPr>
          <w:rFonts w:eastAsia="Times New Roman" w:cs="Times New Roman"/>
          <w:color w:val="000000"/>
          <w:szCs w:val="28"/>
          <w:highlight w:val="white"/>
        </w:rPr>
        <w:t xml:space="preserve">5</w:t>
      </w:r>
      <w:r>
        <w:rPr>
          <w:rFonts w:eastAsia="Times New Roman" w:cs="Times New Roman"/>
          <w:color w:val="000000"/>
          <w:szCs w:val="28"/>
          <w:highlight w:val="white"/>
        </w:rPr>
        <w:t xml:space="preserve"> от 23.04.2024</w:t>
      </w:r>
      <w:r>
        <w:rPr>
          <w:rFonts w:eastAsia="Times New Roman" w:cs="Times New Roman"/>
          <w:color w:val="000000"/>
          <w:szCs w:val="28"/>
          <w:highlight w:val="white"/>
        </w:rPr>
      </w:r>
      <w:r>
        <w:rPr>
          <w:rFonts w:eastAsia="Times New Roman" w:cs="Times New Roman"/>
          <w:color w:val="000000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after="0"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after="0" w:line="240" w:lineRule="auto"/>
      </w:pPr>
      <w:r>
        <w:t xml:space="preserve">Государственная программ</w:t>
      </w:r>
      <w:r>
        <w:t xml:space="preserve">а</w:t>
      </w:r>
      <w:r>
        <w:t xml:space="preserve"> Новосибирской области «Обеспечение безопасности жизнедеятельности на</w:t>
      </w:r>
      <w:r>
        <w:t xml:space="preserve">селения Новосибирской области» утверждена постановлением Правительства Новосибирской области от 27.03.2015 № 110-п «Об утверждении государственной программы Новосибирской области «Обеспечение безопасности жизнедеятельности населения Новосибирской области».</w:t>
      </w:r>
      <w:r/>
    </w:p>
    <w:p>
      <w:pPr>
        <w:ind w:firstLine="709"/>
        <w:jc w:val="both"/>
        <w:spacing w:after="0" w:line="240" w:lineRule="auto"/>
      </w:pPr>
      <w:r>
        <w:t xml:space="preserve">В течении 202</w:t>
      </w:r>
      <w:r>
        <w:t xml:space="preserve">3 года, а также в начале 2024</w:t>
      </w:r>
      <w:r>
        <w:t xml:space="preserve"> год</w:t>
      </w:r>
      <w:r>
        <w:t xml:space="preserve">а</w:t>
      </w:r>
      <w:r>
        <w:t xml:space="preserve"> в государственную программу внесено </w:t>
      </w:r>
      <w:r>
        <w:t xml:space="preserve">4</w:t>
      </w:r>
      <w:r>
        <w:t xml:space="preserve"> изменени</w:t>
      </w:r>
      <w:r>
        <w:t xml:space="preserve">я:</w:t>
      </w:r>
      <w:r/>
    </w:p>
    <w:p>
      <w:pPr>
        <w:ind w:firstLine="709"/>
        <w:jc w:val="both"/>
        <w:spacing w:after="0" w:line="240" w:lineRule="auto"/>
        <w:rPr>
          <w:rFonts w:cs="Times New Roman"/>
          <w:szCs w:val="28"/>
        </w:rPr>
      </w:pPr>
      <w:r>
        <w:t xml:space="preserve">- </w:t>
      </w:r>
      <w:r>
        <w:t xml:space="preserve">постановление Правительства Новосибирской области </w:t>
      </w:r>
      <w:r>
        <w:rPr>
          <w:rFonts w:cs="Times New Roman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17.01.2023 № 3-п (</w:t>
      </w:r>
      <w:r>
        <w:t xml:space="preserve">изменения направлены на приведение финансирования государственной программы Нов</w:t>
      </w:r>
      <w:r>
        <w:t xml:space="preserve">осибирской области «Обеспечение безопасности жизнедеятельности населения Новосибирской области» в соответствие с актуальной редакцией Закона «Об областном бюджете Новосибирской области на 2022 год и плановый период 2023 и 2024 годов»</w:t>
      </w:r>
      <w:r>
        <w:rPr>
          <w:rFonts w:cs="Times New Roman"/>
          <w:szCs w:val="28"/>
        </w:rPr>
        <w:t xml:space="preserve">);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t xml:space="preserve">- постановление Правительства Новосибирской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.03.2023 №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96-п</w:t>
      </w:r>
      <w:r>
        <w:t xml:space="preserve"> (</w:t>
      </w:r>
      <w:r>
        <w:t xml:space="preserve">и</w:t>
      </w:r>
      <w:r>
        <w:t xml:space="preserve">зменения </w:t>
      </w:r>
      <w:r>
        <w:t xml:space="preserve">направлены на приведение финансирования государс</w:t>
      </w:r>
      <w:r>
        <w:t xml:space="preserve">твенной программы в соответствие</w:t>
      </w:r>
      <w:r>
        <w:t xml:space="preserve"> с актуальной редакцией Закона Новосибирской области «Об областном бюджете на 202</w:t>
      </w:r>
      <w:r>
        <w:t xml:space="preserve">3</w:t>
      </w:r>
      <w:r>
        <w:t xml:space="preserve"> год и плановый период 202</w:t>
      </w:r>
      <w:r>
        <w:t xml:space="preserve">4</w:t>
      </w:r>
      <w:r>
        <w:t xml:space="preserve"> и 202</w:t>
      </w:r>
      <w:r>
        <w:t xml:space="preserve">5</w:t>
      </w:r>
      <w:r>
        <w:t xml:space="preserve"> годов»</w:t>
      </w:r>
      <w:r>
        <w:t xml:space="preserve">);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highlight w:val="none"/>
        </w:rPr>
        <w:t xml:space="preserve">- </w:t>
      </w:r>
      <w:r>
        <w:rPr>
          <w:highlight w:val="none"/>
        </w:rPr>
        <w:t xml:space="preserve">постановление Правительства Новосибирской области от 08.08.2023 № 360-п (изменения направлены на </w:t>
      </w:r>
      <w:r>
        <w:t xml:space="preserve">приведения порядка </w:t>
      </w:r>
      <w:r>
        <w:rPr>
          <w:rFonts w:cs="Times New Roman"/>
          <w:szCs w:val="28"/>
        </w:rPr>
        <w:t xml:space="preserve">предоставления субсидий из средств областного бюджета Новосибирской обл</w:t>
      </w:r>
      <w:r>
        <w:rPr>
          <w:rFonts w:cs="Times New Roman"/>
          <w:szCs w:val="28"/>
        </w:rPr>
        <w:t xml:space="preserve">асти общественным объединениям добровольной пожарной охраны Новосибирской области в рамках реализации мероприятий государственной программы </w:t>
      </w:r>
      <w:r>
        <w:t xml:space="preserve">в соответствие с </w:t>
      </w:r>
      <w:r>
        <w:t xml:space="preserve">нормами федерального законодательства)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</w:pPr>
      <w:r>
        <w:rPr>
          <w:highlight w:val="none"/>
        </w:rPr>
        <w:t xml:space="preserve">- постановление Правительства Новосибирской области от 27.03.2024 № 140-п (</w:t>
      </w:r>
      <w:r>
        <w:t xml:space="preserve">изменения направлены на приведение объемов финансирования государственной программы в соответствие с уточненной сводной бюджетной росписью областного бюджета Новосибирской области на 2023 год по состоянию на 31.12.2023).</w:t>
      </w:r>
      <w:r/>
    </w:p>
    <w:p>
      <w:pPr>
        <w:ind w:firstLine="709"/>
        <w:jc w:val="both"/>
        <w:spacing w:after="0" w:line="240" w:lineRule="auto"/>
      </w:pPr>
      <w:r>
        <w:t xml:space="preserve">В целях реализации государственной программы приказом министерства жилищно-коммунального хозяйства и энергетики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23.03.2023 № 23-НПА</w:t>
      </w:r>
      <w:r>
        <w:t xml:space="preserve"> утвержден </w:t>
      </w:r>
      <w:r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реализации мероприятий государственной программы Новосибирской области «Обеспеч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ение безопасности жизнедеятельности населения Новосибирской области» на очередной 2023 год</w:t>
      </w:r>
      <w:r>
        <w:rPr>
          <w:rFonts w:ascii="Times New Roman" w:hAnsi="Times New Roman" w:cs="Times New Roman"/>
          <w:sz w:val="28"/>
          <w:szCs w:val="28"/>
        </w:rPr>
        <w:t xml:space="preserve"> (далее – План реализации)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</w:pPr>
      <w:r>
        <w:t xml:space="preserve">В </w:t>
      </w:r>
      <w:r>
        <w:t xml:space="preserve">начале 2024 года</w:t>
      </w:r>
      <w:r>
        <w:t xml:space="preserve"> в План реализации государственной программы внесено 2 изменения:</w:t>
      </w:r>
      <w:r/>
    </w:p>
    <w:p>
      <w:pPr>
        <w:ind w:firstLine="709"/>
        <w:jc w:val="both"/>
        <w:spacing w:after="0" w:line="240" w:lineRule="auto"/>
      </w:pPr>
      <w:r>
        <w:t xml:space="preserve">- приказом от </w:t>
      </w:r>
      <w:r>
        <w:t xml:space="preserve">29.03.2024 № 61- НПА</w:t>
      </w:r>
      <w:r>
        <w:t xml:space="preserve">;</w:t>
      </w:r>
      <w:r/>
    </w:p>
    <w:p>
      <w:pPr>
        <w:ind w:firstLine="709"/>
        <w:jc w:val="both"/>
        <w:spacing w:after="0" w:line="240" w:lineRule="auto"/>
      </w:pPr>
      <w:r>
        <w:t xml:space="preserve">- приказом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04.04.2024 № 68-НПА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/>
    </w:p>
    <w:p>
      <w:pPr>
        <w:ind w:firstLine="709"/>
        <w:jc w:val="both"/>
        <w:spacing w:after="0" w:line="240" w:lineRule="auto"/>
      </w:pPr>
      <w:r>
        <w:t xml:space="preserve">В 202</w:t>
      </w:r>
      <w:r>
        <w:t xml:space="preserve">3</w:t>
      </w:r>
      <w:r>
        <w:t xml:space="preserve"> году в рамках государственной программы реализовывалос</w:t>
      </w:r>
      <w:r>
        <w:t xml:space="preserve">ь </w:t>
      </w:r>
      <w:r>
        <w:t xml:space="preserve">6</w:t>
      </w:r>
      <w:r>
        <w:t xml:space="preserve"> основных мероприятий:</w:t>
      </w:r>
      <w:r/>
    </w:p>
    <w:p>
      <w:pPr>
        <w:ind w:firstLine="709"/>
        <w:jc w:val="both"/>
        <w:spacing w:after="0" w:line="240" w:lineRule="auto"/>
        <w:rPr>
          <w:szCs w:val="28"/>
        </w:rPr>
      </w:pPr>
      <w:r>
        <w:t xml:space="preserve">1) </w:t>
      </w:r>
      <w:r>
        <w:t xml:space="preserve">с</w:t>
      </w:r>
      <w:r>
        <w:rPr>
          <w:rFonts w:cs="Times New Roman"/>
          <w:bCs/>
          <w:szCs w:val="28"/>
        </w:rPr>
        <w:t xml:space="preserve">одействие добровольной пожарной охране в осуществлении функций по тушению пожаров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after="0" w:line="240" w:lineRule="auto"/>
      </w:pPr>
      <w:r>
        <w:t xml:space="preserve">2) проведение взрывных работ по ликвидации ледяных заторов и рыхлению льда на реках Новосибирской области в период паводка;</w:t>
      </w:r>
      <w:r/>
    </w:p>
    <w:p>
      <w:pPr>
        <w:ind w:firstLine="709"/>
        <w:jc w:val="both"/>
        <w:spacing w:after="0" w:line="240" w:lineRule="auto"/>
      </w:pPr>
      <w:r>
        <w:t xml:space="preserve">3</w:t>
      </w:r>
      <w:r>
        <w:t xml:space="preserve">) мероприятия, направленные на выполнение плана основных мероприятий государственного казенного учреждения;</w:t>
      </w:r>
      <w:r/>
    </w:p>
    <w:p>
      <w:pPr>
        <w:ind w:firstLine="709"/>
        <w:jc w:val="both"/>
        <w:spacing w:after="0" w:line="240" w:lineRule="auto"/>
      </w:pPr>
      <w:r>
        <w:t xml:space="preserve">4</w:t>
      </w:r>
      <w:r>
        <w:t xml:space="preserve">) развитие сети пожарных депо на территории Новосибирской области;</w:t>
      </w:r>
      <w:r/>
    </w:p>
    <w:p>
      <w:pPr>
        <w:ind w:firstLine="709"/>
        <w:jc w:val="both"/>
        <w:spacing w:after="0" w:line="240" w:lineRule="auto"/>
        <w:rPr>
          <w:szCs w:val="28"/>
        </w:rPr>
      </w:pPr>
      <w:r>
        <w:rPr>
          <w:rFonts w:cs="Times New Roman"/>
          <w:szCs w:val="28"/>
        </w:rPr>
        <w:t xml:space="preserve">5) создание резерва материальных ресурсов в целях гражданской обороны и защиты от чрезвычайных ситуаций;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after="0" w:line="240" w:lineRule="auto"/>
        <w:rPr>
          <w:szCs w:val="28"/>
        </w:rPr>
      </w:pPr>
      <w:r>
        <w:t xml:space="preserve">6</w:t>
      </w:r>
      <w:r>
        <w:t xml:space="preserve">) </w:t>
      </w:r>
      <w:r>
        <w:rPr>
          <w:szCs w:val="28"/>
        </w:rPr>
        <w:t xml:space="preserve">мероприятия по обучению и повышению квалификации должностных лиц организаций Новосибирской области вопросам обеспечения безопасности жизнедеятельности.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after="0" w:line="240" w:lineRule="auto"/>
      </w:pPr>
      <w:r>
        <w:t xml:space="preserve">В рамках выполнения основного мероприятия «</w:t>
      </w:r>
      <w:r>
        <w:t xml:space="preserve">С</w:t>
      </w:r>
      <w:r>
        <w:rPr>
          <w:rFonts w:cs="Times New Roman"/>
          <w:bCs/>
          <w:szCs w:val="28"/>
        </w:rPr>
        <w:t xml:space="preserve">одействие добровольной пожарной охране в осуществлении функций по тушению пожаров</w:t>
      </w:r>
      <w:r>
        <w:t xml:space="preserve">» министерством жилищно-коммунального хозяйства и энергетики Новосибирской области была предоставлена субсидия Новосибирскому региональному отделению Общероссийской общественной организации «Всероссийское добровольное пожарное общество» (далее </w:t>
      </w:r>
      <w:r>
        <w:rPr>
          <w:rFonts w:cs="Times New Roman"/>
        </w:rPr>
        <w:t xml:space="preserve">−</w:t>
      </w:r>
      <w:r>
        <w:t xml:space="preserve"> НРО ООО «ВДПО») в размере </w:t>
      </w:r>
      <w:r>
        <w:rPr>
          <w:rFonts w:cs="Times New Roman"/>
          <w:color w:val="000000" w:themeColor="text1"/>
          <w:szCs w:val="28"/>
        </w:rPr>
        <w:t xml:space="preserve">6 476,0 </w:t>
      </w:r>
      <w:r>
        <w:t xml:space="preserve">тыс. рублей.</w:t>
      </w:r>
      <w:r/>
    </w:p>
    <w:p>
      <w:pPr>
        <w:ind w:firstLine="709"/>
        <w:jc w:val="both"/>
        <w:spacing w:after="0" w:line="240" w:lineRule="auto"/>
      </w:pPr>
      <w:r>
        <w:t xml:space="preserve">На предоставленные средства субсидии НРО ООО «ВДПО» выполнила следующие запланированные мероприятия:</w:t>
      </w:r>
      <w:r/>
    </w:p>
    <w:p>
      <w:pPr>
        <w:ind w:firstLine="709"/>
        <w:jc w:val="both"/>
        <w:spacing w:after="0" w:line="240" w:lineRule="auto"/>
      </w:pPr>
      <w:r>
        <w:t xml:space="preserve">- осуществила закупку и передачу добровольным пожарным горюче-смазочных материалов для тушения пожаров в количестве 1</w:t>
      </w:r>
      <w:r>
        <w:t xml:space="preserve">7</w:t>
      </w:r>
      <w:r>
        <w:t xml:space="preserve"> 525</w:t>
      </w:r>
      <w:r>
        <w:t xml:space="preserve">,5</w:t>
      </w:r>
      <w:r>
        <w:t xml:space="preserve"> литров </w:t>
      </w:r>
      <w:r>
        <w:t xml:space="preserve">бензина и</w:t>
      </w:r>
      <w:r>
        <w:t xml:space="preserve"> дизельного топлива</w:t>
      </w:r>
      <w:r>
        <w:t xml:space="preserve">;</w:t>
      </w:r>
      <w:r/>
    </w:p>
    <w:p>
      <w:pPr>
        <w:ind w:firstLine="709"/>
        <w:jc w:val="both"/>
        <w:spacing w:after="0" w:line="240" w:lineRule="auto"/>
        <w:rPr>
          <w:rFonts w:cs="Times New Roman"/>
          <w:szCs w:val="28"/>
        </w:rPr>
      </w:pPr>
      <w:r>
        <w:rPr>
          <w:szCs w:val="28"/>
        </w:rPr>
        <w:t xml:space="preserve">- осуществила закупку и передачу добровольным пожарным 100 комплектов </w:t>
      </w:r>
      <w:r>
        <w:rPr>
          <w:rFonts w:cs="Times New Roman"/>
          <w:szCs w:val="28"/>
        </w:rPr>
        <w:t xml:space="preserve">боевой одежды пожарного;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9"/>
        <w:jc w:val="both"/>
        <w:spacing w:after="0" w:line="240" w:lineRule="auto"/>
      </w:pPr>
      <w:r>
        <w:t xml:space="preserve">- осуществила закупку и передачу добровольным пожарным 9</w:t>
      </w:r>
      <w:r>
        <w:t xml:space="preserve">0</w:t>
      </w:r>
      <w:r>
        <w:t xml:space="preserve"> единиц пожарных рукавов;</w:t>
      </w:r>
      <w:r/>
    </w:p>
    <w:p>
      <w:pPr>
        <w:ind w:firstLine="709"/>
        <w:jc w:val="both"/>
        <w:spacing w:after="0" w:line="240" w:lineRule="auto"/>
        <w:rPr>
          <w:highlight w:val="none"/>
        </w:rPr>
      </w:pPr>
      <w:r>
        <w:t xml:space="preserve">- осуществила закупку и передачу добровольным пожарным 64</w:t>
      </w:r>
      <w:r>
        <w:t xml:space="preserve"> единицы ранцевых огнетушителей;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- осуществила закупку и передачу добровольным пожарным 60</w:t>
      </w:r>
      <w:r>
        <w:t xml:space="preserve"> единиц </w:t>
      </w:r>
      <w:r>
        <w:rPr>
          <w:rFonts w:ascii="Times New Roman" w:hAnsi="Times New Roman" w:cs="Times New Roman"/>
          <w:sz w:val="28"/>
          <w:szCs w:val="28"/>
        </w:rPr>
        <w:t xml:space="preserve">стволов пожарных;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- осуществила закупку и передачу добровольным пожарным 40</w:t>
      </w:r>
      <w:r>
        <w:t xml:space="preserve"> единиц </w:t>
      </w:r>
      <w:r>
        <w:rPr>
          <w:rFonts w:ascii="Times New Roman" w:hAnsi="Times New Roman" w:cs="Times New Roman"/>
          <w:sz w:val="28"/>
          <w:szCs w:val="28"/>
        </w:rPr>
        <w:t xml:space="preserve">головок соединительных переходных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t xml:space="preserve">Мероприятие по оказанию государственной поддержки добровольным пожарным дружинам с целью стимулирования их работы и обеспечения максимально полного участия в тушении пожаров выполнено в полном объеме</w:t>
      </w:r>
      <w:r>
        <w:t xml:space="preserve"> (</w:t>
      </w:r>
      <w:r>
        <w:t xml:space="preserve">о</w:t>
      </w:r>
      <w:r>
        <w:rPr>
          <w:rFonts w:cs="Times New Roman"/>
          <w:szCs w:val="28"/>
        </w:rPr>
        <w:t xml:space="preserve">существлено 1194 стимулирующих выплаты в размере 1500 рублей на одного добровольного пожарного за активное участие в профилактике и (или) тушении пожаров).</w:t>
      </w:r>
      <w:r>
        <w:rPr>
          <w:rFonts w:ascii="Times New Roman" w:hAnsi="Times New Roman" w:cs="Times New Roman"/>
          <w:sz w:val="28"/>
          <w:szCs w:val="28"/>
        </w:rPr>
        <w:t xml:space="preserve"> Остаток неиспользованной субсидии в размере </w:t>
      </w:r>
      <w:r>
        <w:rPr>
          <w:rFonts w:ascii="Times New Roman" w:hAnsi="Times New Roman" w:cs="Times New Roman"/>
          <w:sz w:val="28"/>
          <w:szCs w:val="28"/>
        </w:rPr>
        <w:t xml:space="preserve">1,51 тыс. рублей (по статье расходов «Объ</w:t>
      </w:r>
      <w:r>
        <w:rPr>
          <w:rFonts w:ascii="Times New Roman" w:hAnsi="Times New Roman" w:cs="Times New Roman"/>
          <w:sz w:val="28"/>
          <w:szCs w:val="28"/>
        </w:rPr>
        <w:t xml:space="preserve">ем приобретенных горюче-смазочных материалов) возвращен в областной бюджет.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Также, министерством жилищно-коммунального хозяйства и энергетики Новосибирской области в рамках указанной задачи осуществлено страхование добровольных пожарных.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олисы страхования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от несчастных случаев и заболеваний от 06.06.2022 и от 04.05.2023.</w:t>
      </w:r>
      <w:r>
        <w:rPr>
          <w:rFonts w:ascii="Times New Roman" w:hAnsi="Times New Roman" w:eastAsia="Helvetica" w:cs="Times New Roman"/>
          <w:color w:val="000000"/>
          <w:sz w:val="28"/>
          <w:szCs w:val="28"/>
          <w:highlight w:val="white"/>
        </w:rPr>
        <w:t xml:space="preserve"> Произведена оплата страховых услуг по государственным контрактам в размере 100,9 тыс. рублей и 142,7 тыс. рублей соответственно. </w:t>
      </w:r>
      <w:r>
        <w:rPr>
          <w:rFonts w:cs="Times New Roman"/>
          <w:highlight w:val="none"/>
        </w:rPr>
      </w:r>
      <w:r>
        <w:rPr>
          <w:rFonts w:cs="Times New Roman"/>
          <w:highlight w:val="none"/>
        </w:rPr>
      </w:r>
    </w:p>
    <w:p>
      <w:pPr>
        <w:ind w:firstLine="709"/>
        <w:jc w:val="both"/>
        <w:spacing w:after="0" w:line="240" w:lineRule="auto"/>
      </w:pPr>
      <w:r>
        <w:t xml:space="preserve">В 202</w:t>
      </w:r>
      <w:r>
        <w:t xml:space="preserve">3</w:t>
      </w:r>
      <w:r>
        <w:t xml:space="preserve"> году в рамках государственной программы продолжено выполнение </w:t>
      </w:r>
      <w:r>
        <w:t xml:space="preserve">мероприятий, направленных на снижение рисков и смягчени</w:t>
      </w:r>
      <w:r>
        <w:t xml:space="preserve">я</w:t>
      </w:r>
      <w:r>
        <w:t xml:space="preserve"> по</w:t>
      </w:r>
      <w:r>
        <w:t xml:space="preserve">следствий чрезвычайных ситуаций, которые могут возникнуть в результате подтопления в период весеннего половодья.</w:t>
      </w:r>
      <w:r/>
    </w:p>
    <w:p>
      <w:pPr>
        <w:ind w:firstLine="709"/>
        <w:jc w:val="both"/>
        <w:spacing w:after="0" w:line="240" w:lineRule="auto"/>
        <w:rPr>
          <w:rFonts w:cs="Times New Roman"/>
          <w:szCs w:val="28"/>
        </w:rPr>
      </w:pPr>
      <w:r>
        <w:t xml:space="preserve">В рамках мероприятия по проведению взрывных работ по ликвидации ледяных заторов и рыхлению льда на реках Новосибирской области </w:t>
      </w:r>
      <w:r>
        <w:t xml:space="preserve">Г</w:t>
      </w:r>
      <w:r>
        <w:rPr>
          <w:rFonts w:cs="Times New Roman"/>
          <w:szCs w:val="28"/>
        </w:rPr>
        <w:t xml:space="preserve">осударственным казенным учреждением Новосибирской области «Центр по обеспечению мероприятий в области гражданской обороны, чрезвычайным ситуациям и пожарной безопасности Новосибирской области (далее − ГКУ НСО «Центр ГО, ЧС и ПБ Новосибирской области»)</w:t>
      </w:r>
      <w:r>
        <w:rPr>
          <w:rFonts w:cs="Times New Roman"/>
          <w:szCs w:val="28"/>
        </w:rPr>
        <w:t xml:space="preserve"> </w:t>
      </w:r>
      <w:r>
        <w:t xml:space="preserve">заключен государственный контракт </w:t>
      </w:r>
      <w:r>
        <w:rPr>
          <w:rFonts w:cs="Times New Roman"/>
          <w:szCs w:val="28"/>
        </w:rPr>
        <w:t xml:space="preserve">на выполнение работ по ликвидации ледяных заторов (разрушению ледовых полей, рыхлению льда, взрывных работ) на реках Новосибирской области в период паводка.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9"/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Вследстви</w:t>
      </w:r>
      <w:r>
        <w:rPr>
          <w:rFonts w:cs="Times New Roman"/>
          <w:szCs w:val="28"/>
        </w:rPr>
        <w:t xml:space="preserve">е</w:t>
      </w:r>
      <w:r>
        <w:rPr>
          <w:rFonts w:cs="Times New Roman"/>
          <w:szCs w:val="28"/>
        </w:rPr>
        <w:t xml:space="preserve"> проведенного</w:t>
      </w:r>
      <w:r>
        <w:rPr>
          <w:rFonts w:cs="Times New Roman"/>
          <w:szCs w:val="28"/>
        </w:rPr>
        <w:t xml:space="preserve"> мо</w:t>
      </w:r>
      <w:r>
        <w:rPr>
          <w:rFonts w:cs="Times New Roman"/>
          <w:szCs w:val="28"/>
        </w:rPr>
        <w:t xml:space="preserve">ниторинга </w:t>
      </w:r>
      <w:r>
        <w:rPr>
          <w:rFonts w:cs="Times New Roman"/>
          <w:szCs w:val="28"/>
        </w:rPr>
        <w:t xml:space="preserve">и других анализирующих работ </w:t>
      </w:r>
      <w:r>
        <w:rPr>
          <w:rFonts w:cs="Times New Roman"/>
          <w:szCs w:val="28"/>
        </w:rPr>
        <w:t xml:space="preserve">потребность в проведении взрывных работ </w:t>
      </w:r>
      <w:r>
        <w:rPr>
          <w:rFonts w:cs="Times New Roman"/>
          <w:szCs w:val="28"/>
        </w:rPr>
        <w:t xml:space="preserve">была выявлена на реках Карасук и Иня.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9"/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соответствии с актом выполненных работ стоимость выполненных ра</w:t>
      </w:r>
      <w:r>
        <w:rPr>
          <w:rFonts w:cs="Times New Roman"/>
          <w:szCs w:val="28"/>
        </w:rPr>
        <w:t xml:space="preserve">бот составила 751</w:t>
      </w:r>
      <w:r>
        <w:rPr>
          <w:rFonts w:cs="Times New Roman"/>
          <w:szCs w:val="28"/>
        </w:rPr>
        <w:t xml:space="preserve">,5</w:t>
      </w:r>
      <w:r>
        <w:rPr>
          <w:rFonts w:cs="Times New Roman"/>
          <w:szCs w:val="28"/>
        </w:rPr>
        <w:t xml:space="preserve">2</w:t>
      </w:r>
      <w:r>
        <w:rPr>
          <w:rFonts w:cs="Times New Roman"/>
          <w:szCs w:val="28"/>
        </w:rPr>
        <w:t xml:space="preserve"> тыс. рублей, при количест</w:t>
      </w:r>
      <w:r>
        <w:rPr>
          <w:rFonts w:cs="Times New Roman"/>
          <w:szCs w:val="28"/>
        </w:rPr>
        <w:t xml:space="preserve">ве разрушенного льда в объеме 10</w:t>
      </w:r>
      <w:r>
        <w:rPr>
          <w:rFonts w:cs="Times New Roman"/>
          <w:szCs w:val="28"/>
        </w:rPr>
        <w:t xml:space="preserve"> 000</w:t>
      </w:r>
      <w:r>
        <w:rPr>
          <w:rFonts w:cs="Times New Roman"/>
          <w:szCs w:val="28"/>
        </w:rPr>
        <w:t xml:space="preserve">  куб.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метров.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t xml:space="preserve">Снижение стоимости затр</w:t>
      </w:r>
      <w:r>
        <w:t xml:space="preserve">ат на проводимые мероприятия по</w:t>
      </w:r>
      <w:r>
        <w:t xml:space="preserve"> взрывным работам на реках Новосибирской области связано с благоприятными погодными условиями, сложившимися в период весеннего половодья и </w:t>
      </w:r>
      <w:r>
        <w:t xml:space="preserve">паводка.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Согласно плану основных мероприятий в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2023 году работниками ГКУ НСО «Центр ГО, ЧС и ПБ Новосибирской области» выполнено 389 мероприятий, что составляет 100 % от запланированного количества. Ежегодное выполнение плана позволяет содержать силы и средства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для защиты населения и территории от чрезвычайных ситуаций природного и техногенного характера на высоком уровне готовности, а также обеспечить безопасность жизнедеятельности населения Новосибирской области, оперативно реагировать на чрезвычайные ситуации,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их предупреждение и ликвидацию.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color w:val="000000" w:themeColor="text1"/>
          <w:highlight w:val="none"/>
        </w:rPr>
      </w:pPr>
      <w:r>
        <w:rPr>
          <w:color w:val="000000" w:themeColor="text1"/>
        </w:rPr>
        <w:t xml:space="preserve">Также, в рамках указанного основного мероприятия осуществлялось поддержание доли населенных пунктов, в которых реагирование на пожары фактически осуществляется подра</w:t>
      </w:r>
      <w:r>
        <w:rPr>
          <w:color w:val="000000" w:themeColor="text1"/>
        </w:rPr>
        <w:t xml:space="preserve">зделениями Государственной противопожарной службы на территории Новосибирской области, от общего количества населенных пунктов, прикрытие которых должно осуществляться силами подразделений Государственной противопожарной службы, вследствие чего доля таких </w:t>
      </w:r>
      <w:r>
        <w:rPr>
          <w:color w:val="000000" w:themeColor="text1"/>
        </w:rPr>
        <w:t xml:space="preserve">населенных пунктов остала</w:t>
      </w:r>
      <w:r>
        <w:rPr>
          <w:color w:val="000000" w:themeColor="text1"/>
        </w:rPr>
        <w:t xml:space="preserve">сь на достигнутом в предыдущие годы уровне равном 70,77%.</w:t>
      </w:r>
      <w:r>
        <w:rPr>
          <w:color w:val="000000" w:themeColor="text1"/>
        </w:rPr>
      </w:r>
      <w:r>
        <w:rPr>
          <w:color w:val="000000" w:themeColor="text1"/>
          <w:highlight w:val="none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мероприятия 1.4.4 «Создание резерва материальных ресурсов в целях гражданской обороны и защиты от чрезвычайных ситуаций», исполнителем которого является подведомственное министерству жилищно</w:t>
      </w:r>
      <w:r>
        <w:rPr>
          <w:rFonts w:ascii="Times New Roman" w:hAnsi="Times New Roman" w:cs="Times New Roman"/>
          <w:sz w:val="28"/>
          <w:szCs w:val="28"/>
        </w:rPr>
        <w:t xml:space="preserve">-коммунального хозяйства и энергетики Новосибирской области ГКУ НСО «Центр ГО, ЧС и ПБ Новосибирской области» для приобретения запланированного количества средств индивидуальной защиты (противогазов) 20 315 шт., было выделено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36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 185,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проведен мониторинг материальных ресурсов для гражданской обороны и защиты от чрезвычайных ситуаций природного и техногенного характера и определена потребность в их пополнении.</w:t>
      </w:r>
      <w:r>
        <w:rPr>
          <w:rFonts w:ascii="Times New Roman" w:hAnsi="Times New Roman" w:cs="Times New Roman"/>
          <w:sz w:val="28"/>
          <w:szCs w:val="28"/>
        </w:rPr>
        <w:t xml:space="preserve"> В целях доведения объемов резерва материальных ресурсов Новосибирской области до нормативного, установленного постановлением Правительства Новосибирской области от 12.05.2022 № 203-п «О порядке создания, использования и восполнения резервов мате</w:t>
      </w:r>
      <w:r>
        <w:rPr>
          <w:rFonts w:ascii="Times New Roman" w:hAnsi="Times New Roman" w:cs="Times New Roman"/>
          <w:sz w:val="28"/>
          <w:szCs w:val="28"/>
        </w:rPr>
        <w:t xml:space="preserve">риальных ресурсов Новосибирской области для ликвидации чрезвычайных ситуаций межмуниципального и регионального характера» в качестве резерва материальных ресурсов для предупреждения и ликвидации чрезвычайных ситуаций природного и техногенного характера 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Новосибирской области было запланировано приобретение средств индивидуальной защиты (противогазы) в количестве 20 315 шт.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Во испол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нение мероприятия в результате проведения конкурсных процедур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был заключен государственный контракт на поставку средств индивидуальной защиты (противогазов)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на сумму 36 183,04 тыс. рублей в количестве 20 315 шт.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Противогазы поставлены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в указанном количестве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Отклонение от плановых значений вызвано уменьшением цены 1 ед. средства индивидуальной защиты (противога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за) в ходе конкурсных процедур.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Невостребованный остаток бюджетных средств возвращен в областной бюджет Новосибирской области.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" w:cs="Arial"/>
          <w:color w:val="000000"/>
          <w:highlight w:val="none"/>
        </w:rPr>
      </w:pPr>
      <w:r>
        <w:t xml:space="preserve">В 202</w:t>
      </w:r>
      <w:r>
        <w:t xml:space="preserve">3</w:t>
      </w:r>
      <w:r>
        <w:t xml:space="preserve"> году в</w:t>
      </w:r>
      <w:r>
        <w:t xml:space="preserve"> рамках основного </w:t>
      </w:r>
      <w:r>
        <w:t xml:space="preserve">мероприяти</w:t>
      </w:r>
      <w:r>
        <w:t xml:space="preserve">я</w:t>
      </w:r>
      <w:r>
        <w:t xml:space="preserve"> «Развитие сети пожарных депо на территории Новосибирской области</w:t>
      </w:r>
      <w:r>
        <w:t xml:space="preserve">», </w:t>
      </w:r>
      <w:r>
        <w:t xml:space="preserve">предполагалось проектирование </w:t>
      </w:r>
      <w:r>
        <w:t xml:space="preserve">пожарных депо в</w:t>
      </w:r>
      <w:r>
        <w:rPr>
          <w:rFonts w:cs="Times New Roman"/>
          <w:color w:val="000000" w:themeColor="text1"/>
          <w:szCs w:val="28"/>
        </w:rPr>
        <w:t xml:space="preserve"> г. Новосибирске</w:t>
      </w:r>
      <w:r>
        <w:rPr>
          <w:rFonts w:eastAsia="Times New Roman" w:cs="Times New Roman"/>
          <w:color w:val="000000" w:themeColor="text1"/>
          <w:szCs w:val="28"/>
        </w:rPr>
        <w:t xml:space="preserve">, в </w:t>
      </w:r>
      <w:r>
        <w:rPr>
          <w:rFonts w:eastAsia="Times New Roman" w:cs="Times New Roman"/>
          <w:color w:val="000000" w:themeColor="text1"/>
          <w:szCs w:val="28"/>
        </w:rPr>
        <w:t xml:space="preserve">р.п</w:t>
      </w:r>
      <w:r>
        <w:rPr>
          <w:rFonts w:eastAsia="Times New Roman" w:cs="Times New Roman"/>
          <w:color w:val="000000" w:themeColor="text1"/>
          <w:szCs w:val="28"/>
        </w:rPr>
        <w:t xml:space="preserve">. Кольцово Новосибирской области</w:t>
      </w:r>
      <w:r>
        <w:rPr>
          <w:rFonts w:eastAsia="Times New Roman" w:cs="Times New Roman"/>
          <w:color w:val="000000" w:themeColor="text1"/>
          <w:szCs w:val="28"/>
        </w:rPr>
        <w:t xml:space="preserve">,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 Барышевском сельсовете. Исполнителями мероприятия являются министерство строительство Новосибирской области и государственное казенное учреждение Новосибирской области «Управление капитального строительства»</w:t>
      </w:r>
      <w:r>
        <w:rPr>
          <w:rFonts w:eastAsia="Times New Roman" w:cs="Times New Roman"/>
          <w:color w:val="000000" w:themeColor="text1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(далее -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ГКУ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НСО «УКС)</w:t>
      </w:r>
      <w:r>
        <w:rPr>
          <w:rFonts w:eastAsia="Times New Roman" w:cs="Times New Roman"/>
          <w:color w:val="000000" w:themeColor="text1"/>
          <w:szCs w:val="28"/>
        </w:rPr>
        <w:t xml:space="preserve">.</w:t>
      </w:r>
      <w:r>
        <w:rPr>
          <w:rFonts w:eastAsia="Times New Roman" w:cs="Times New Roman"/>
          <w:color w:val="000000" w:themeColor="text1"/>
          <w:highlight w:val="none"/>
        </w:rPr>
      </w:r>
      <w:r>
        <w:rPr>
          <w:rFonts w:ascii="Arial" w:hAnsi="Arial" w:eastAsia="Arial" w:cs="Arial"/>
          <w:color w:val="000000"/>
          <w:highlight w:val="none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Проектная документация на строительство трёх пожарных депо находится на стадии разработки. Фактическое освоение денежных средств на проектирование составляет 15448,60 тыс. руб., но работы по проектированию не закончены.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34" w:lineRule="exact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рамках реализации мероприятия 1.4.3.1 «Проектирование пожарного депо в г. Новосибирске»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п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роектная документация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разработанная ООО ПМ «Алтай» в рамках заключенного контракта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на выполнение работ по генеральному проектированию объекта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проходила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государственную экспертизу в </w:t>
      </w:r>
      <w:hyperlink r:id="rId10" w:tooltip="https://expertiza.nso.ru/" w:history="1">
        <w:r>
          <w:rPr>
            <w:rStyle w:val="870"/>
            <w:rFonts w:ascii="Times New Roman" w:hAnsi="Times New Roman" w:cs="Times New Roman"/>
            <w:color w:val="auto"/>
            <w:sz w:val="28"/>
            <w:szCs w:val="28"/>
            <w:highlight w:val="white"/>
            <w:u w:val="none"/>
          </w:rPr>
          <w:t xml:space="preserve">ГБУ НСО Государственная вневедомственная экспертиза Новосибирской области (ГБУ НСО «ГВЭ НСО»)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После получения проектировщиком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апреле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2023 отрицательного заключения государственной эксперт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изы ГБУ НСО «ГВЭ НСО» по проектной документации и результатам инженерных изысканий, проектная документация 27.06.2023 была направлена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повторную экспертизу.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highlight w:val="white"/>
        </w:rPr>
        <w:t xml:space="preserve">18.01.2024 получено повторное отрицательное заключение экспертизы ГБУ Н</w:t>
      </w:r>
      <w:r>
        <w:rPr>
          <w:rFonts w:ascii="Times New Roman" w:hAnsi="Times New Roman" w:cs="Times New Roman"/>
          <w:sz w:val="28"/>
        </w:rPr>
        <w:t xml:space="preserve">СО «ГВЭ НСО».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состоянию на 01.01.2024 оплачено капитальных вложений на сумму 591,83 тыс. рублей, в том числе: технические условия – 376,38 тыс. рублей, инженерные изыскания – 215,45 тыс. рублей.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ГКУ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НСО «УКС</w:t>
      </w:r>
      <w:r>
        <w:rPr>
          <w:rFonts w:ascii="Times New Roman" w:hAnsi="Times New Roman" w:cs="Times New Roman"/>
          <w:sz w:val="28"/>
        </w:rPr>
        <w:t xml:space="preserve"> принято решение о расторжении государственного контракта 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ООО ПМ «Алтай»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проектирование.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настоящее время заключен государственный контракт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от 15.04.2024 на проектирование и выполнение строительно-монтажных работ с ООО СК «АСК»</w:t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  <w:t xml:space="preserve">.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рамках реализации мероприятия 1.4.3.2 «Проектирование пожарных депо в Новосибирской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 по реализации детализированного мероприятия «Проектирование пожарного депо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Барышевском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сельсовете»: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Заказчиком -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ГКУ НСО «Центр ГО, ЧС и ПБ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направлено письмо от 05.07.2023 в Центральный аппарат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Росимущества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для утверждения схемы расположения земельного участка на кадастровом плане территории, планируемого к образованию путем раздела земельного участка с кадастровым номером 54:19:164602:17, с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сохранением его в измененных границах.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23.10.2023 земельный участок предоставлен заказчику под строительство здания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пожарного депо в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Барышевском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сельсовете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(в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ыписка из единого государственного реестра Новосибирской области 54:19:164602:655-54/170/2023 от 23.10.2023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Г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осударственным заказчиком ГКУ НСО «УКС» заключен государственный контракт от 03.10.2023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с ООО «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Велариум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на выполнение проектно-изыскательных работ на сумму 11 589,9 тыс. рублей.</w:t>
      </w: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Ориентировочный срок получения экспертизы ГБУ НСО «ГВЭ НСО» – сентябрь 2024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года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 по реализации детализированного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мероприятия «Проектирование пожарного депо в р.п. Кольцово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государственным заказчиком ГКУ НСО «УКС» заключены государственные контракты: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ООО «СМР» от 21.11.2022 на обследование на сумму 499,6 тыс. рублей;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проектной фирмой ООО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УралСтройПроект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20.03.2023 на проектно-изыскательные работы на сумму 12 340,0 тыс. рублей;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МУЭП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Промтехэнерго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от 10.07.2023 на технические условия (электроэнергия) на сумму 11 370,04 тыс. рублей;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МУЭП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Промтехэнерго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от 24.07.2023 на технические условия (теплоснабжение) на сумму 6 954,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ПАО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Ростелеком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от 14.12.2023 на технические условия (сети связи) на сумму 2 398,0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ыс. рублей;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26.06.2023 проектная документация направлена 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ировщиком для проведения экспертизы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ГБУ НСО «ГВЭ НСО»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Ориентировочный срок получения экспертизы ГБУ НСО «ГВЭ НСО» - апрель 2024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По состоянию на 01.01.2024 оплачено капитальных вложений на сумму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732,82 тыс. рублей, в том числе: технические условия – 15 233,18 тыс. рублей,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обследование – 499,65 тыс. рублей.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Недостижение</w:t>
      </w:r>
      <w:r>
        <w:rPr>
          <w:rFonts w:ascii="Times New Roman" w:hAnsi="Times New Roman" w:cs="Times New Roman"/>
          <w:sz w:val="28"/>
          <w:szCs w:val="28"/>
        </w:rPr>
        <w:t xml:space="preserve"> количественного показателя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Количество объектов пожарной охраны, на строительство которых разработана проектная документация в рамках государственной программы (за отчетный год)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связано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непроведением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абот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из-за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отсутстви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проектной документации, прошедшей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государственную экспертизу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а также в связи с необходимость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ю выполнения проектно-изыскательных работ по объекту «Здание пожарного депо в Барышевском сельсовете Новосибирского района Новосибирской области»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ind w:firstLine="709"/>
        <w:jc w:val="both"/>
        <w:spacing w:after="0" w:line="240" w:lineRule="auto"/>
        <w:rPr>
          <w:rFonts w:cs="Times New Roman"/>
          <w:highlight w:val="none"/>
        </w:rPr>
      </w:pPr>
      <w:r>
        <w:rPr>
          <w:rFonts w:cs="Times New Roman"/>
          <w:szCs w:val="28"/>
        </w:rPr>
        <w:t xml:space="preserve">Мероприятие по обучению и повышению квалификации должностных лиц организаций Новосибирской области вопросам обеспечения безопасности жизнедеятельности населения выполнено в полном объеме.</w:t>
      </w:r>
      <w:r>
        <w:rPr>
          <w:rFonts w:cs="Times New Roman"/>
          <w:highlight w:val="none"/>
        </w:rPr>
      </w:r>
      <w:r>
        <w:rPr>
          <w:rFonts w:cs="Times New Roman"/>
          <w:highlight w:val="none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государственным заданием устанавливаемым министерством жилищно-коммунального хозяйства и энергетики Новосибирско</w:t>
      </w:r>
      <w:r>
        <w:rPr>
          <w:rFonts w:ascii="Times New Roman" w:hAnsi="Times New Roman" w:cs="Times New Roman"/>
          <w:sz w:val="28"/>
          <w:szCs w:val="28"/>
        </w:rPr>
        <w:t xml:space="preserve">й области для государственного автономного бюджетного учреждения дополнительного профессионального образования Новосибирской области «Учебно-методический центр по гражданской обороне и чрезвычайным ситуациям Новосибирской области» (далее – ГАОУ ДПО НСО «УМ</w:t>
      </w:r>
      <w:r>
        <w:rPr>
          <w:rFonts w:ascii="Times New Roman" w:hAnsi="Times New Roman" w:cs="Times New Roman"/>
          <w:sz w:val="28"/>
          <w:szCs w:val="28"/>
        </w:rPr>
        <w:t xml:space="preserve">Ц ГОЧС Новосибирской области») на базе ГАОУ ДПО НСО «УМЦ ГОЧС Новосибирской области» за 12 месяцев 2023 года было обучено </w:t>
      </w:r>
      <w:r>
        <w:rPr>
          <w:rFonts w:ascii="Times New Roman" w:hAnsi="Times New Roman" w:cs="Times New Roman"/>
          <w:sz w:val="28"/>
          <w:szCs w:val="28"/>
        </w:rPr>
        <w:t xml:space="preserve">3499</w:t>
      </w:r>
      <w:r>
        <w:rPr>
          <w:rFonts w:ascii="Times New Roman" w:hAnsi="Times New Roman" w:cs="Times New Roman"/>
          <w:sz w:val="28"/>
          <w:szCs w:val="28"/>
        </w:rPr>
        <w:t xml:space="preserve"> должностных лиц ГО, ЧС, РСЧС, специалистов системы 112 и специалистов спасательных постов на водных объектах Новосибирской област</w:t>
      </w:r>
      <w:r>
        <w:rPr>
          <w:rFonts w:ascii="Times New Roman" w:hAnsi="Times New Roman" w:cs="Times New Roman"/>
          <w:sz w:val="28"/>
          <w:szCs w:val="28"/>
        </w:rPr>
        <w:t xml:space="preserve">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34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Всего за 12 месяцев 2023 года на реализацию мероприятия по обеспечению обучения должностных лиц предприят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ий и организаций Новосибирской области всех форм собственности вопросам гражданской обороны и защиты населения и территории от чрезвычайных ситуаций из областного бюджета Новосибирской области было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направлено 19 405,5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тыс. рублей.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Финансирование государственной программы в 202</w:t>
      </w:r>
      <w:r>
        <w:rPr>
          <w:rFonts w:cs="Times New Roman"/>
          <w:szCs w:val="28"/>
        </w:rPr>
        <w:t xml:space="preserve">3</w:t>
      </w:r>
      <w:r>
        <w:rPr>
          <w:rFonts w:cs="Times New Roman"/>
          <w:szCs w:val="28"/>
        </w:rPr>
        <w:t xml:space="preserve"> году составило </w:t>
      </w:r>
      <w:r>
        <w:rPr>
          <w:rFonts w:ascii="Times New Roman" w:hAnsi="Times New Roman" w:eastAsia="Times New Roman" w:cs="Times New Roman"/>
          <w:color w:val="000000"/>
          <w:highlight w:val="white"/>
        </w:rPr>
        <w:t xml:space="preserve">1 481 522,7</w:t>
      </w:r>
      <w:r>
        <w:rPr>
          <w:rFonts w:eastAsia="Times New Roman"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тыс. рублей, что </w:t>
      </w:r>
      <w:r>
        <w:rPr>
          <w:rFonts w:cs="Times New Roman"/>
          <w:szCs w:val="28"/>
        </w:rPr>
        <w:t xml:space="preserve">является</w:t>
      </w:r>
      <w:r>
        <w:rPr>
          <w:rFonts w:cs="Times New Roman"/>
          <w:szCs w:val="28"/>
        </w:rPr>
        <w:t xml:space="preserve"> 85</w:t>
      </w:r>
      <w:r>
        <w:rPr>
          <w:rFonts w:eastAsia="Times New Roman" w:cs="Times New Roman"/>
          <w:szCs w:val="28"/>
        </w:rPr>
        <w:t xml:space="preserve">,84</w:t>
      </w:r>
      <w:r>
        <w:rPr>
          <w:rFonts w:eastAsia="Times New Roman" w:cs="Times New Roman"/>
          <w:sz w:val="24"/>
        </w:rPr>
        <w:t xml:space="preserve"> </w:t>
      </w:r>
      <w:r>
        <w:rPr>
          <w:rFonts w:cs="Times New Roman"/>
          <w:szCs w:val="28"/>
        </w:rPr>
        <w:t xml:space="preserve">% от планового финансирования в размере 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1 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726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 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008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,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8</w:t>
      </w:r>
      <w:r>
        <w:rPr>
          <w:b w:val="0"/>
          <w:bCs w:val="0"/>
          <w:sz w:val="28"/>
          <w:szCs w:val="28"/>
          <w:highlight w:val="white"/>
        </w:rPr>
        <w:t xml:space="preserve"> тыс. рубле</w:t>
      </w:r>
      <w:r>
        <w:rPr>
          <w:rFonts w:eastAsia="Times New Roman" w:cs="Times New Roman"/>
          <w:b w:val="0"/>
          <w:bCs w:val="0"/>
          <w:szCs w:val="28"/>
          <w:highlight w:val="white"/>
        </w:rPr>
        <w:t xml:space="preserve">й</w:t>
      </w:r>
      <w:r>
        <w:rPr>
          <w:rFonts w:cs="Times New Roman"/>
          <w:szCs w:val="28"/>
        </w:rPr>
        <w:t xml:space="preserve"> </w:t>
      </w:r>
      <w:r>
        <w:rPr>
          <w:rFonts w:cs="Times New Roman"/>
          <w:szCs w:val="28"/>
        </w:rPr>
        <w:t xml:space="preserve">тыс. рублей.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9"/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9"/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Заместитель </w:t>
      </w:r>
      <w:r>
        <w:rPr>
          <w:rFonts w:cs="Times New Roman"/>
          <w:szCs w:val="28"/>
        </w:rPr>
        <w:t xml:space="preserve">министра</w:t>
      </w:r>
      <w:r>
        <w:rPr>
          <w:rFonts w:cs="Times New Roman"/>
          <w:szCs w:val="28"/>
        </w:rPr>
        <w:t xml:space="preserve"> – начальник управления 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 предупреждению чрезвычайных ситуаций</w:t>
      </w:r>
      <w:r>
        <w:rPr>
          <w:rFonts w:cs="Times New Roman"/>
          <w:szCs w:val="28"/>
        </w:rPr>
        <w:t xml:space="preserve">                                         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     С.А. Рахманов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jc w:val="both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jc w:val="both"/>
        <w:spacing w:after="0" w:line="240" w:lineRule="auto"/>
        <w:rPr>
          <w:rFonts w:cs="Times New Roman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jc w:val="both"/>
        <w:spacing w:after="0" w:line="240" w:lineRule="auto"/>
        <w:rPr>
          <w:rFonts w:cs="Times New Roman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  <w:r>
        <w:rPr>
          <w:rFonts w:cs="Times New Roman"/>
        </w:rPr>
      </w:r>
    </w:p>
    <w:p>
      <w:pPr>
        <w:jc w:val="both"/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О.А. Дударик</w:t>
      </w:r>
      <w:r>
        <w:rPr>
          <w:rFonts w:cs="Times New Roman"/>
          <w:sz w:val="20"/>
          <w:szCs w:val="20"/>
        </w:rPr>
      </w:r>
      <w:r>
        <w:rPr>
          <w:rFonts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227 05 66</w:t>
      </w:r>
      <w:r>
        <w:rPr>
          <w:rFonts w:cs="Times New Roman"/>
          <w:sz w:val="20"/>
          <w:szCs w:val="20"/>
        </w:rPr>
      </w:r>
      <w:r>
        <w:rPr>
          <w:rFonts w:cs="Times New Roman"/>
          <w:sz w:val="20"/>
          <w:szCs w:val="20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31651490"/>
      <w:docPartObj>
        <w:docPartGallery w:val="Page Numbers (Top of Page)"/>
        <w:docPartUnique w:val="true"/>
      </w:docPartObj>
      <w:rPr/>
    </w:sdtPr>
    <w:sdtContent>
      <w:p>
        <w:pPr>
          <w:pStyle w:val="86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9"/>
    <w:next w:val="859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0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9"/>
    <w:next w:val="859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0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59"/>
    <w:next w:val="859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60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59"/>
    <w:next w:val="859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60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9"/>
    <w:next w:val="859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0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59"/>
    <w:next w:val="859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60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59"/>
    <w:next w:val="859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6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59"/>
    <w:next w:val="859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6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59"/>
    <w:next w:val="85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60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59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59"/>
    <w:next w:val="859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60"/>
    <w:link w:val="704"/>
    <w:uiPriority w:val="10"/>
    <w:rPr>
      <w:sz w:val="48"/>
      <w:szCs w:val="48"/>
    </w:rPr>
  </w:style>
  <w:style w:type="paragraph" w:styleId="706">
    <w:name w:val="Subtitle"/>
    <w:basedOn w:val="859"/>
    <w:next w:val="859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60"/>
    <w:link w:val="706"/>
    <w:uiPriority w:val="11"/>
    <w:rPr>
      <w:sz w:val="24"/>
      <w:szCs w:val="24"/>
    </w:rPr>
  </w:style>
  <w:style w:type="paragraph" w:styleId="708">
    <w:name w:val="Quote"/>
    <w:basedOn w:val="859"/>
    <w:next w:val="859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59"/>
    <w:next w:val="859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60"/>
    <w:link w:val="864"/>
    <w:uiPriority w:val="99"/>
  </w:style>
  <w:style w:type="character" w:styleId="713">
    <w:name w:val="Footer Char"/>
    <w:basedOn w:val="860"/>
    <w:link w:val="866"/>
    <w:uiPriority w:val="99"/>
  </w:style>
  <w:style w:type="paragraph" w:styleId="714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866"/>
    <w:uiPriority w:val="99"/>
  </w:style>
  <w:style w:type="table" w:styleId="716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6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7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8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9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0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1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3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4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5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6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7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8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0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1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2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3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4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5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0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0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character" w:styleId="863">
    <w:name w:val="Placeholder Text"/>
    <w:basedOn w:val="860"/>
    <w:uiPriority w:val="99"/>
    <w:semiHidden/>
    <w:rPr>
      <w:color w:val="808080"/>
    </w:rPr>
  </w:style>
  <w:style w:type="paragraph" w:styleId="864">
    <w:name w:val="Header"/>
    <w:basedOn w:val="859"/>
    <w:link w:val="8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5" w:customStyle="1">
    <w:name w:val="Верхний колонтитул Знак"/>
    <w:basedOn w:val="860"/>
    <w:link w:val="864"/>
    <w:uiPriority w:val="99"/>
  </w:style>
  <w:style w:type="paragraph" w:styleId="866">
    <w:name w:val="Footer"/>
    <w:basedOn w:val="859"/>
    <w:link w:val="8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Нижний колонтитул Знак"/>
    <w:basedOn w:val="860"/>
    <w:link w:val="866"/>
    <w:uiPriority w:val="99"/>
  </w:style>
  <w:style w:type="paragraph" w:styleId="868">
    <w:name w:val="Balloon Text"/>
    <w:basedOn w:val="859"/>
    <w:link w:val="86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basedOn w:val="860"/>
    <w:link w:val="868"/>
    <w:uiPriority w:val="99"/>
    <w:semiHidden/>
    <w:rPr>
      <w:rFonts w:ascii="Segoe UI" w:hAnsi="Segoe UI" w:cs="Segoe UI"/>
      <w:sz w:val="18"/>
      <w:szCs w:val="18"/>
    </w:rPr>
  </w:style>
  <w:style w:type="character" w:styleId="870">
    <w:name w:val="Hyperlink"/>
    <w:basedOn w:val="860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yperlink" Target="https://expertiza.nso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 Михаил Николаевич</dc:creator>
  <cp:keywords/>
  <dc:description/>
  <cp:revision>15</cp:revision>
  <dcterms:created xsi:type="dcterms:W3CDTF">2023-04-13T03:38:00Z</dcterms:created>
  <dcterms:modified xsi:type="dcterms:W3CDTF">2024-04-23T09:13:51Z</dcterms:modified>
</cp:coreProperties>
</file>