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/>
    </w:p>
    <w:p>
      <w:pPr>
        <w:ind w:firstLine="0"/>
        <w:jc w:val="center"/>
        <w:widowControl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ПАСПОРТ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0"/>
        <w:jc w:val="center"/>
        <w:widowControl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государственной программы Новосибирской области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«Энергосбережение и повышение энергетической эффективности Новосибирской области» с 01.01.2024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ind w:firstLine="0"/>
        <w:widowControl/>
        <w:rPr>
          <w:rFonts w:ascii="Times New Roman" w:hAnsi="Times New Roman" w:cs="Times New Roman"/>
          <w:sz w:val="16"/>
          <w:szCs w:val="16"/>
          <w:highlight w:val="white"/>
        </w:rPr>
        <w:outlineLvl w:val="0"/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1. Основные положения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tbl>
      <w:tblPr>
        <w:tblW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44"/>
        <w:gridCol w:w="8644"/>
      </w:tblGrid>
      <w:tr>
        <w:trPr>
          <w:trHeight w:val="6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государственной программы Новосибирской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Сёмка Сергей Николаевич – заместитель Губернатора Новосибирской области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исполнитель государственной программы Новосибирской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Архипов Денис Николаевич – министр жилищно-коммунального хозяйства и энергетики Новосибирской области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Период реализации государственной программы Новосибирской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Этап I: 2015-2023 годы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Этап II: 2024-2030 годы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Цели государственной программы Новосибирской области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pStyle w:val="859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Повышение энергетической эффективности в государственных учреждениях Новосибирской области при снижении потребления электроэнергии до 51,4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кВтч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 тепловой энергии до 0,198 Гкал/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 2030 году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0" w:leader="none"/>
                <w:tab w:val="left" w:pos="283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Повышение энергетической эффективности в коммунальном комплексе Новосибирской области при снижении удельного расхода топлива до 235,71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кг.ут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Гкал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 доли потерь тепловой энергии до 21,07% к 2030 году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Задачи (направления) государственной программы Новосибирской области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 Снижение потребления государственными учреждениями топливно-энергетических ресурсов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4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 Снижение потребления топливно-энергетических ресурсов в коммунальном комплексе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Объемы финансового обеспечения государственной программы Новосибирской области за весь период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этап (2015-2023гг.) – 2 046 498,3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этап (2024-2030гг.)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1 901 678,8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тыс. ру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блей.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Влияние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 (при наличии)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4" w:type="dxa"/>
            <w:vAlign w:val="center"/>
            <w:textDirection w:val="lrTb"/>
            <w:noWrap w:val="false"/>
          </w:tcPr>
          <w:p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-/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Сбережение народа России и развитие человеческого потенциала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Показатель «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оздание комфортной среды для проживания во всех населенных пунктах, развитие их транспортной и энергетической инфраструктуры»</w:t>
            </w:r>
            <w:r/>
          </w:p>
        </w:tc>
      </w:tr>
    </w:tbl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 Показатели государственной программы Новосибирской области и ее структурных элементов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highlight w:val="white"/>
        </w:rPr>
      </w:r>
      <w:r/>
    </w:p>
    <w:tbl>
      <w:tblPr>
        <w:tblStyle w:val="852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851"/>
        <w:gridCol w:w="709"/>
        <w:gridCol w:w="561"/>
        <w:gridCol w:w="645"/>
        <w:gridCol w:w="645"/>
        <w:gridCol w:w="645"/>
        <w:gridCol w:w="645"/>
        <w:gridCol w:w="645"/>
        <w:gridCol w:w="645"/>
        <w:gridCol w:w="645"/>
        <w:gridCol w:w="2295"/>
        <w:gridCol w:w="1559"/>
        <w:gridCol w:w="850"/>
        <w:gridCol w:w="8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Уровень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Единица измерения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(по </w:t>
            </w:r>
            <w:hyperlink r:id="rId9" w:tooltip="consultantplus://offline/ref=BAC8182A14CF8C9B62D6F43881DC3989AC779050FAB1371F96B9A216D19CE87439AC9353CFE32AE0FC52EB78CCB5IDI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Базовое значение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Значения показателей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Связь с показателями национальных целей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значение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2030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9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16</w:t>
            </w:r>
            <w:r/>
          </w:p>
        </w:tc>
      </w:tr>
      <w:tr>
        <w:trPr/>
        <w:tc>
          <w:tcPr>
            <w:gridSpan w:val="17"/>
            <w:tcW w:w="1558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Цель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государственной программы 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энергетической эффективности в государственных учреждениях Новосибирской области при снижении потребления электроэнергии до 51,4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кВтч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тепловой энергии до 0,198 Гкал/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кв.мк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 2030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»</w:t>
            </w:r>
            <w:r/>
          </w:p>
        </w:tc>
      </w:tr>
      <w:tr>
        <w:trPr>
          <w:trHeight w:val="276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  <w:rPr>
                <w:bCs/>
                <w:color w:val="000000"/>
                <w:highlight w:val="white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Цель государственной программы Новосибирской области «Повышение энергетической эффективности в коммунальном комплексе Новосибирской области при снижении удельного расхода топлива до 235,71 </w:t>
            </w:r>
            <w:r>
              <w:rPr>
                <w:bCs/>
                <w:color w:val="000000"/>
                <w:shd w:val="clear" w:color="auto" w:fill="ffffff"/>
              </w:rPr>
              <w:t xml:space="preserve">кг.ут</w:t>
            </w:r>
            <w:r>
              <w:rPr>
                <w:bCs/>
                <w:color w:val="000000"/>
                <w:shd w:val="clear" w:color="auto" w:fill="ffffff"/>
              </w:rPr>
              <w:t xml:space="preserve">/</w:t>
            </w:r>
            <w:r>
              <w:rPr>
                <w:bCs/>
                <w:color w:val="000000"/>
                <w:shd w:val="clear" w:color="auto" w:fill="ffffff"/>
              </w:rPr>
              <w:t xml:space="preserve">Гка</w:t>
            </w:r>
            <w:r>
              <w:rPr>
                <w:bCs/>
                <w:color w:val="000000"/>
                <w:shd w:val="clear" w:color="auto" w:fill="ffffff"/>
              </w:rPr>
              <w:t xml:space="preserve"> и доли потерь тепловой энергии до 21,07% к 2030 году»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Удельное потребление электрической энергии государственными учреждениями Новосибирской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кВтч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/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кв.м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52,1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51,4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Постановление Правительства Российской Федерации  от 11.02.2021 № 161 «Об утверждении требований к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региональным и му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</w:t>
            </w:r>
            <w:r>
              <w:rPr>
                <w:color w:val="000000"/>
                <w:shd w:val="clear" w:color="auto" w:fill="ffffff"/>
              </w:rPr>
              <w:t xml:space="preserve">Постановление Правительства Российской Федерации  от 11.02.2021 № 161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 во взаимодействии с исполнительными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Новосибирской области, имеющими подведомственные государственные учреждения, которые заключили договоры энергоснабжения с поставщиками энергии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Удельное потребление тепловой энергии государственными учреждениями Новосибирской области</w:t>
            </w:r>
            <w:r/>
          </w:p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 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Гкал/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кв.м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0,199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0,198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Постановление Правительства Российской Федерации  от 11.02.2021 № 161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 во взаимодействии с исполнительными органами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области, имеющими подведомственные государственные учреждения, которые заключили договоры энергоснабжения с поставщиками энергии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Удельный расход топлива на отпущенную с коллекторов котельных в тепловую сеть тепловую энергию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tabs>
                <w:tab w:val="left" w:pos="0" w:leader="none"/>
                <w:tab w:val="left" w:pos="283" w:leader="none"/>
              </w:tabs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кг.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ут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/Гкал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235,81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235,79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235,77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235,75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235,73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235,71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Постановление Правительства Российской Федерации  от 11.02.2021 № 161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</w:t>
            </w:r>
            <w:r>
              <w:rPr>
                <w:color w:val="000000"/>
                <w:highlight w:val="none"/>
                <w:shd w:val="clear" w:color="auto" w:fill="ffffff"/>
              </w:rPr>
              <w:t xml:space="preserve">МО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Доля потерь тепловой энергии при ее передаче в общем объеме переданной тепловой энергии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21,15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21,07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Постановление Правительства Российской Федерации  от 11.02.2021 № 161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</w:t>
            </w:r>
            <w:r>
              <w:rPr>
                <w:color w:val="000000"/>
                <w:highlight w:val="none"/>
                <w:shd w:val="clear" w:color="auto" w:fill="ffffff"/>
              </w:rPr>
              <w:t xml:space="preserve">МО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  <w:rPr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  <w:shd w:val="clear" w:color="auto" w:fill="ffffff"/>
              </w:rPr>
              <w:t xml:space="preserve">Задача (направление) государственной программы Новосибирской области </w:t>
            </w:r>
            <w:r/>
          </w:p>
          <w:p>
            <w:pPr>
              <w:pStyle w:val="850"/>
              <w:jc w:val="center"/>
              <w:spacing w:before="0" w:beforeAutospacing="0" w:after="0" w:afterAutospacing="0"/>
              <w:shd w:val="clear" w:color="auto" w:fill="ffffff"/>
              <w:widowControl w:val="off"/>
              <w:rPr>
                <w:color w:val="000000"/>
                <w:spacing w:val="-2"/>
                <w:highlight w:val="white"/>
              </w:rPr>
            </w:pPr>
            <w:r>
              <w:rPr>
                <w:bCs/>
                <w:color w:val="000000"/>
                <w:highlight w:val="white"/>
                <w:shd w:val="clear" w:color="auto" w:fill="ffffff"/>
              </w:rPr>
              <w:t xml:space="preserve">«Снижение потребления государственными учреждениями топливно-энергетических ресурсов»</w:t>
            </w:r>
            <w:r/>
          </w:p>
        </w:tc>
      </w:tr>
      <w:tr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8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shd w:val="clear" w:color="auto" w:fill="ffffff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</w:t>
            </w:r>
            <w:r>
              <w:rPr>
                <w:bCs/>
                <w:color w:val="000000"/>
                <w:highlight w:val="white"/>
              </w:rPr>
              <w:t xml:space="preserve"> «Меры</w:t>
            </w:r>
            <w:r>
              <w:rPr>
                <w:bCs/>
                <w:highlight w:val="white"/>
              </w:rPr>
              <w:t xml:space="preserve"> по обеспечению наличия программ энергосбережения и повышения энергетической эффективности в государственных учреждениях</w:t>
            </w:r>
            <w:r>
              <w:rPr>
                <w:bCs/>
                <w:color w:val="000000"/>
                <w:spacing w:val="-2"/>
                <w:highlight w:val="white"/>
              </w:rPr>
              <w:t xml:space="preserve"> Новосибирской области»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Наличие программ энергосбережения </w:t>
            </w:r>
            <w:r>
              <w:rPr>
                <w:color w:val="000000"/>
                <w:shd w:val="clear" w:color="auto" w:fill="ffffff"/>
              </w:rPr>
              <w:t xml:space="preserve">и повышения энергетической эффективности  государственных учреждений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Новосибирской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Федеральный закон от 23.11.2009 </w:t>
            </w:r>
            <w:r/>
          </w:p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МЖКХиЭ НСО во взаимодействии с исполнительными органами государственной власти Новосибирской области, имеющими подведомственные государственные учреждения, которые заключили договоры энергоснабжения с поставщиками энергии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8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Задача (направление)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государственной программы Новосибирской области 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Снижение потребления топливно-энергетических ресурсов в коммунальном комплексе»</w:t>
            </w:r>
            <w:r/>
          </w:p>
        </w:tc>
      </w:tr>
      <w:tr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8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«Энергосбережение в системе коммунальной инфраструктуры»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Доля квартир (домовладений), переведенных на индивидуальное поквартирное отопление от общего количества квартир, подлежащих переводу на индивидуальное поквартирное отопление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5,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8,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10,2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11,2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2,3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13,3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</w:t>
            </w:r>
            <w:r>
              <w:rPr>
                <w:color w:val="000000"/>
                <w:highlight w:val="none"/>
                <w:shd w:val="clear" w:color="auto" w:fill="ffffff"/>
              </w:rPr>
              <w:t xml:space="preserve">МО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Доля систем теплоснабжения, на которых реализованы энергоэффективные мероприятия от общего количества систем теплоснабжения, нуждающихся в проведении энергоэффективных мероприятий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4,25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5,25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6,25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</w:t>
            </w:r>
            <w:r>
              <w:rPr>
                <w:color w:val="000000"/>
                <w:highlight w:val="none"/>
                <w:shd w:val="clear" w:color="auto" w:fill="ffffff"/>
              </w:rPr>
              <w:t xml:space="preserve">МО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88" w:type="dxa"/>
            <w:textDirection w:val="lrTb"/>
            <w:noWrap w:val="false"/>
          </w:tcPr>
          <w:p>
            <w:pPr>
              <w:ind w:firstLine="0"/>
              <w:jc w:val="center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«Разработка отчетного и целевого топливно-энергетических балансов Новосибирской области»</w:t>
            </w:r>
            <w:r/>
          </w:p>
        </w:tc>
      </w:tr>
      <w:tr>
        <w:trPr>
          <w:trHeight w:val="1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Количество разработанных топливно-энергетических балансов (отчетного/ целевого)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jc w:val="both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Федеральный закон от 27.07.2010 № 190-ФЗ «О теплоснабжении»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8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Отраслевой проект «Модернизация коммунальной инфраструктуры»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муниципальных котельных (и других источников тепловой энергии), построенных, модернизированных и реконструированных в соответствии с требованиями энергетической эффективности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Постановление Правительства Новосибирской области от 19.03.2019 № 105-п «О Стратегии социально-экономического развития Новосибирской области на период до 2030 года»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</w:t>
            </w:r>
            <w:r>
              <w:rPr>
                <w:color w:val="000000"/>
                <w:highlight w:val="none"/>
                <w:shd w:val="clear" w:color="auto" w:fill="ffffff"/>
              </w:rPr>
              <w:t xml:space="preserve">МО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Протяженность муниципальных тепловых сетей, построенных, реконструированных, капитально отремонтированных в соответствии с требованиями энергетической эффективности, в 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муниципальных сетей водопровода, вынес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енных из канала тепловых сетей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0,88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1,71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6,8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Постановление Правительства Новосибирской области от 19.03.2019 № 105-п «О Стратегии социально-экономического развития Новосибирской области на период до 2030 года»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ind w:left="-57" w:right="-57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</w:t>
            </w:r>
            <w:r>
              <w:rPr>
                <w:color w:val="000000"/>
                <w:highlight w:val="none"/>
                <w:shd w:val="clear" w:color="auto" w:fill="ffffff"/>
              </w:rPr>
              <w:t xml:space="preserve">МО</w:t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 НСО «ПЦУ НСО»</w:t>
            </w:r>
            <w:r/>
          </w:p>
        </w:tc>
      </w:tr>
    </w:tbl>
    <w:p>
      <w:pPr>
        <w:ind w:firstLine="0"/>
        <w:jc w:val="center"/>
        <w:widowControl/>
        <w:rPr>
          <w:rFonts w:ascii="Times New Roman" w:hAnsi="Times New Roman" w:cs="Times New Roman"/>
          <w:b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3. Структура государственной программы Новосибирской области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b/>
          <w:sz w:val="16"/>
          <w:szCs w:val="16"/>
          <w:highlight w:val="white"/>
        </w:rPr>
        <w:outlineLvl w:val="0"/>
      </w:pPr>
      <w:r>
        <w:rPr>
          <w:rFonts w:ascii="Times New Roman" w:hAnsi="Times New Roman" w:cs="Times New Roman"/>
          <w:b/>
          <w:sz w:val="16"/>
          <w:szCs w:val="16"/>
          <w:highlight w:val="white"/>
        </w:rPr>
      </w:r>
      <w:r/>
    </w:p>
    <w:tbl>
      <w:tblPr>
        <w:tblW w:w="15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473"/>
        <w:gridCol w:w="3826"/>
        <w:gridCol w:w="1274"/>
        <w:gridCol w:w="6097"/>
      </w:tblGrid>
      <w:tr>
        <w:trPr>
          <w:trHeight w:val="570"/>
        </w:trPr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п/п</w:t>
            </w:r>
            <w:r/>
          </w:p>
        </w:tc>
        <w:tc>
          <w:tcPr>
            <w:tcW w:w="34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Задачи структурного элемента</w:t>
            </w:r>
            <w:r/>
          </w:p>
        </w:tc>
        <w:tc>
          <w:tcPr>
            <w:gridSpan w:val="2"/>
            <w:tcW w:w="51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W w:w="609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Связь с показателями</w:t>
            </w:r>
            <w:r/>
          </w:p>
        </w:tc>
      </w:tr>
      <w:tr>
        <w:trPr/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/>
          </w:p>
        </w:tc>
        <w:tc>
          <w:tcPr>
            <w:tcW w:w="34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/>
          </w:p>
        </w:tc>
        <w:tc>
          <w:tcPr>
            <w:gridSpan w:val="2"/>
            <w:tcW w:w="51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/>
          </w:p>
        </w:tc>
        <w:tc>
          <w:tcPr>
            <w:tcW w:w="609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/>
          </w:p>
        </w:tc>
      </w:tr>
      <w:tr>
        <w:trPr>
          <w:trHeight w:val="425"/>
        </w:trPr>
        <w:tc>
          <w:tcPr>
            <w:tcW w:w="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государственной программы Новосибирской области «Повышение энергетической эффективности в государственных учреждениях Новосибирской области при снижении потребления электроэнергии до 51,4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кВтч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тепловой энергии до 0,198 Гкал/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кв.мк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2030 году»</w:t>
            </w:r>
            <w:r/>
          </w:p>
        </w:tc>
      </w:tr>
      <w:tr>
        <w:trPr>
          <w:trHeight w:val="276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государственной программы Новосибирской области «Повышение энергетической эффективности в коммунальном комплексе Новосибирской области при снижении удельного расхода топлива до 235,71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кг.ут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доли потерь тепловой энергии до 21,07% </w:t>
            </w:r>
            <w:r/>
          </w:p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2030 году»</w:t>
            </w:r>
            <w:r/>
          </w:p>
        </w:tc>
      </w:tr>
      <w:tr>
        <w:trPr>
          <w:trHeight w:val="276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</w:t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Задача (направление) государственной программы Новосибирской области </w:t>
            </w:r>
            <w:r/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«Снижение потребления государственными учреждениями топливно-энергетических ресурсов»</w:t>
            </w:r>
            <w:r/>
          </w:p>
        </w:tc>
      </w:tr>
      <w:tr>
        <w:trPr>
          <w:trHeight w:val="1014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1.1.</w:t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«М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еры по обеспечению наличия программ энергосбережения и повышения энергетической эффективности в государственных учреждениях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highlight w:val="white"/>
              </w:rPr>
              <w:t xml:space="preserve"> Новосибирской области» </w:t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highlight w:val="white"/>
              </w:rPr>
              <w:t xml:space="preserve">(Сёмка Сергей Николаевич – куратор)</w:t>
            </w:r>
            <w:r/>
          </w:p>
        </w:tc>
      </w:tr>
      <w:tr>
        <w:trPr/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9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Ответственный за реализацию: МЖКХиЭ НСО во взаимодействии с областными исполнительными органами власти Новосибирской области, имеющими подведомственные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государственные учреждения, которые заключили договоры энергоснабжения с поставщиками энергии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Срок реализации: 2024-2030 годы</w:t>
            </w:r>
            <w:r/>
          </w:p>
        </w:tc>
      </w:tr>
      <w:tr>
        <w:trPr>
          <w:trHeight w:val="276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3" w:type="dxa"/>
            <w:textDirection w:val="lrTb"/>
            <w:noWrap w:val="false"/>
          </w:tcPr>
          <w:p>
            <w:pPr>
              <w:ind w:firstLine="0"/>
              <w:jc w:val="lef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Рациональное использование потребляемых ресурсов государственными учреждениями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Новосибирской области</w:t>
            </w:r>
            <w:r/>
          </w:p>
          <w:p>
            <w:pPr>
              <w:ind w:firstLine="0"/>
              <w:jc w:val="lef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850"/>
              <w:spacing w:before="0" w:beforeAutospacing="0" w:after="0" w:afterAutospacing="0"/>
              <w:widowControl w:val="off"/>
            </w:pPr>
            <w:r>
              <w:rPr>
                <w:color w:val="000000"/>
                <w:shd w:val="clear" w:color="auto" w:fill="ffffff"/>
              </w:rPr>
              <w:t xml:space="preserve">Государственными учреждениями разработаны программы энергосбережения и повышения энергетической эффективности. О</w:t>
            </w:r>
            <w:r>
              <w:rPr>
                <w:color w:val="000000"/>
                <w:shd w:val="clear" w:color="auto" w:fill="ffffff"/>
              </w:rPr>
              <w:t xml:space="preserve">существлены энергосберегающие мероприятия в государственных учреждениях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снижен объем потребляемых ресурсов </w:t>
            </w:r>
            <w:r/>
          </w:p>
        </w:tc>
        <w:tc>
          <w:tcPr>
            <w:tcW w:w="609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Удельное потребление электрической энергии государственными учреждениями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Удельное потребление тепловой энергии государственными учреждениями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области</w:t>
            </w:r>
            <w:r/>
          </w:p>
        </w:tc>
      </w:tr>
      <w:tr>
        <w:trPr>
          <w:trHeight w:val="559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</w:t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Задача (направление) государственной программы Новосибирской области </w:t>
            </w:r>
            <w:r/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«Снижение потребления топливно-энергетических ресурсов в коммунальном комплексе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>
          <w:trHeight w:val="557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2.1.</w:t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Энергосбережение в системе коммунальной инфраструктуры»</w:t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highlight w:val="white"/>
              </w:rPr>
              <w:t xml:space="preserve">(Сёмка Сергей Николаевич – куратор)</w:t>
            </w:r>
            <w:r/>
          </w:p>
        </w:tc>
      </w:tr>
      <w:tr>
        <w:trPr>
          <w:trHeight w:val="276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W w:w="7299" w:type="dxa"/>
            <w:textDirection w:val="lrTb"/>
            <w:noWrap w:val="false"/>
          </w:tcPr>
          <w:p>
            <w:pPr>
              <w:pStyle w:val="850"/>
              <w:ind w:left="-57" w:right="-57"/>
              <w:jc w:val="center"/>
              <w:spacing w:before="0" w:beforeAutospacing="0" w:after="0" w:afterAutospacing="0"/>
              <w:widowControl w:val="off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 xml:space="preserve">Ответственный за реализацию </w:t>
            </w:r>
            <w:r/>
          </w:p>
          <w:p>
            <w:pPr>
              <w:pStyle w:val="850"/>
              <w:ind w:left="-57" w:right="-57"/>
              <w:jc w:val="center"/>
              <w:spacing w:before="0" w:beforeAutospacing="0" w:after="0" w:afterAutospacing="0"/>
              <w:widowControl w:val="off"/>
              <w:rPr>
                <w:spacing w:val="-2"/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 xml:space="preserve">МЖКХиЭ НСО во взаимодействии с ГКУ НСО, ОМС</w:t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Срок реализации: 2024-2030 годы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1663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2.1.1.</w:t>
            </w:r>
            <w:r/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47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Перевод индивидуального и малоэтажного жилищного фонда с централизованного теплоснабжения на индивидуальное поквартирное отопление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pPr>
              <w:pStyle w:val="858"/>
              <w:ind w:left="4"/>
              <w:spacing w:before="20"/>
              <w:tabs>
                <w:tab w:val="left" w:pos="11057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Переведены домовладени</w:t>
            </w:r>
            <w:r>
              <w:rPr>
                <w:highlight w:val="white"/>
              </w:rPr>
              <w:t xml:space="preserve">я</w:t>
            </w:r>
            <w:r>
              <w:rPr>
                <w:highlight w:val="white"/>
              </w:rPr>
              <w:t xml:space="preserve"> (квартир</w:t>
            </w:r>
            <w:r>
              <w:rPr>
                <w:highlight w:val="white"/>
              </w:rPr>
              <w:t xml:space="preserve">ы</w:t>
            </w:r>
            <w:r>
              <w:rPr>
                <w:highlight w:val="white"/>
              </w:rPr>
              <w:t xml:space="preserve">) с централизованного теплоснабжения на индивидуальное поквартирное отопление</w:t>
            </w:r>
            <w:r/>
          </w:p>
        </w:tc>
        <w:tc>
          <w:tcPr>
            <w:tcW w:w="609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Удельный расход топлива на отпущенную с коллекторов котельных в тепловую сеть тепловую энергию.</w:t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потерь тепловой энергии при ее передаче в общем объеме переданной тепловой энергии</w:t>
            </w:r>
            <w:r/>
          </w:p>
        </w:tc>
      </w:tr>
      <w:tr>
        <w:trPr>
          <w:trHeight w:val="1701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2.1.2.</w:t>
            </w:r>
            <w:r/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47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Замена основного и вспомогательного оборудования котельных, оптимизация гидравлических режимов тепловых сетей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Проведена в системах теплоснабжения замена основного и вспомогательного оборудования котельных, оптимизированы гидравлические режимы тепловых сетей</w:t>
            </w:r>
            <w:r/>
          </w:p>
        </w:tc>
        <w:tc>
          <w:tcPr>
            <w:tcW w:w="609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Удельный расход топлива на отпущенную с коллекторов котельных в тепловую сеть тепловую энергию.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потерь тепловой энергии при ее передаче в общем объеме переданной тепловой энергии</w:t>
            </w:r>
            <w:r/>
          </w:p>
        </w:tc>
      </w:tr>
      <w:tr>
        <w:trPr>
          <w:trHeight w:val="594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2.2. </w:t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Разработка отчетного и целевого топливно-энергетических балансов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highlight w:val="white"/>
              </w:rPr>
              <w:t xml:space="preserve">Новосибирской области»</w:t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highlight w:val="white"/>
              </w:rPr>
              <w:t xml:space="preserve">(Сёмка Сергей Николаевич – куратор)</w:t>
            </w:r>
            <w:r/>
          </w:p>
        </w:tc>
      </w:tr>
      <w:tr>
        <w:trPr>
          <w:trHeight w:val="457"/>
        </w:trPr>
        <w:tc>
          <w:tcPr>
            <w:tcW w:w="92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3"/>
            <w:tcW w:w="85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МЖКХиЭ НСО </w:t>
            </w:r>
            <w:r/>
          </w:p>
        </w:tc>
        <w:tc>
          <w:tcPr>
            <w:tcW w:w="609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Срок реализации: 2024-2030 годы</w:t>
            </w:r>
            <w:r/>
          </w:p>
        </w:tc>
      </w:tr>
      <w:tr>
        <w:trPr>
          <w:trHeight w:val="3284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2.2.1</w:t>
            </w:r>
            <w:r/>
          </w:p>
        </w:tc>
        <w:tc>
          <w:tcPr>
            <w:tcW w:w="347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Определение перспективных направлений развития систем топливо-,  энергоснабжения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pPr>
              <w:pStyle w:val="858"/>
              <w:ind w:left="4"/>
              <w:spacing w:before="20"/>
              <w:tabs>
                <w:tab w:val="left" w:pos="11057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Разработан документ, содержащий взаимосвязанные показатели количественного соответствия поставок энергетических ресурсов на террито</w:t>
            </w:r>
            <w:r>
              <w:rPr>
                <w:highlight w:val="white"/>
              </w:rPr>
              <w:t xml:space="preserve">рию Новосибирской области и их потребления, устанавливающего распределение энергетических ресурсов между системами снабжения энергетическими ресурсами, потребителями, группами потребителей и определяющего эффективность использования энергетических ресурсов</w:t>
            </w:r>
            <w:r/>
          </w:p>
        </w:tc>
        <w:tc>
          <w:tcPr>
            <w:tcW w:w="609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Удельный расход топлива на отпущенную с коллекторов котельных в тепловую сеть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потерь тепловой энергии при ее передаче в общем объеме переданной тепловой энергии</w:t>
            </w:r>
            <w:r/>
          </w:p>
        </w:tc>
      </w:tr>
      <w:tr>
        <w:trPr>
          <w:trHeight w:val="699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2.3.</w:t>
            </w:r>
            <w:r/>
          </w:p>
        </w:tc>
        <w:tc>
          <w:tcPr>
            <w:gridSpan w:val="4"/>
            <w:tcW w:w="14670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Отраслевой проект «Модернизация коммунальной инфраструктуры» </w:t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highlight w:val="white"/>
              </w:rPr>
              <w:t xml:space="preserve">Сёмка Сергей Николаевич – куратор)</w:t>
            </w:r>
            <w:r/>
          </w:p>
        </w:tc>
      </w:tr>
      <w:tr>
        <w:trPr>
          <w:trHeight w:val="699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W w:w="72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Ответственный за реализацию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МЖКХиЭ НСО во взаимодействии с ГКУ НСО, ОМС</w:t>
            </w:r>
            <w:r/>
          </w:p>
        </w:tc>
        <w:tc>
          <w:tcPr>
            <w:gridSpan w:val="2"/>
            <w:tcW w:w="737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Срок реализации: 2024-2030 годы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1646"/>
        </w:trPr>
        <w:tc>
          <w:tcPr>
            <w:tcW w:w="92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2.3.1.</w:t>
            </w:r>
            <w:r/>
          </w:p>
        </w:tc>
        <w:tc>
          <w:tcPr>
            <w:tcW w:w="347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Строительство и реконструкция котельных, тепловых сетей,</w:t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включая вынос водопроводов из каналов тепловой сети</w:t>
            </w:r>
            <w:r/>
          </w:p>
        </w:tc>
        <w:tc>
          <w:tcPr>
            <w:gridSpan w:val="2"/>
            <w:tcW w:w="5100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Построены,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модернизированы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реконструирован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 котельные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реконструирован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капитально отремонтирован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тепловы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включая вынос водопроводов из каналов тепловой сети</w:t>
            </w:r>
            <w:r/>
          </w:p>
        </w:tc>
        <w:tc>
          <w:tcPr>
            <w:tcW w:w="609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Удельный расход топлива на отпущенную с коллекторов котельных в тепловую сеть тепловую энергию.</w:t>
            </w:r>
            <w:r/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потерь тепловой энергии при ее передаче в общем объеме переданной тепловой энергии</w:t>
            </w:r>
            <w:r/>
          </w:p>
        </w:tc>
      </w:tr>
    </w:tbl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Финансовое обеспечение государственной программы</w:t>
      </w:r>
      <w:r/>
    </w:p>
    <w:p>
      <w:pPr>
        <w:ind w:firstLine="0"/>
        <w:jc w:val="center"/>
        <w:widowControl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/>
    </w:p>
    <w:tbl>
      <w:tblPr>
        <w:tblW w:w="15591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2"/>
        <w:gridCol w:w="1276"/>
        <w:gridCol w:w="1276"/>
        <w:gridCol w:w="1276"/>
        <w:gridCol w:w="1276"/>
        <w:gridCol w:w="1276"/>
        <w:gridCol w:w="1276"/>
        <w:gridCol w:w="1276"/>
        <w:gridCol w:w="1417"/>
      </w:tblGrid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rPr>
          <w:trHeight w:val="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Государственная программа Новосибирской области «Энергосбережение и повышение энергетической эффективности Новосибирской области» (всего),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403382,7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268635,6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253792,2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253792,2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253792,2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253792,2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253792,2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1940979,3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Областной бюджет Новосибирской области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395217,9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264490,9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248394,0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248394,0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248394,0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248394,0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248394,0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1901678,8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иных бюджетов бюджетной системы Российской Федерации (справочно)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391217,9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260490,9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244394,0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244394,0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244394,0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244394,0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244394,0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1873678,8</w:t>
            </w:r>
            <w:r/>
          </w:p>
        </w:tc>
      </w:tr>
      <w:tr>
        <w:trPr>
          <w:trHeight w:val="14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399382,7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264635,6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249792,2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249792,2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249792,2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249792,2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249792,2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1912979,3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Объем налоговых расходов Новосибирской области (справочно)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Отраслевой проект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Модернизация коммунальной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» (всего),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349436,4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254244,5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236163,6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236163,6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236163,6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236163,6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236163,6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1784498,9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Областной бюджет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342089,4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250286,8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1748111,2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342089,4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250286,8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1748111,2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349436,4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254244,5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236163,6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236163,6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236163,6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236163,6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236163,6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1784498,9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Энергосбережение в системе коммунальной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» (всего), в том числе: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49946,3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10391,1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13628,6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13628,6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13628,6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13628,6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13628,6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128480,4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Областной бюджет Новосибирской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49128,5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10204,1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125567,6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49 128,5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10204,1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125567,6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49 946,3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10 391,1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13 628,6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13 628,6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13 628,6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13 628,6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13 628,6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128 480,4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«Разработка отчетного и целевого топливно-энергетических балансов Новосибирской области»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(всего),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28000,0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Областной бюджет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28000,0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/>
          </w:p>
        </w:tc>
      </w:tr>
    </w:tbl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1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1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Применяемые сокращения:</w:t>
      </w:r>
      <w:r>
        <w:rPr>
          <w:sz w:val="20"/>
          <w:szCs w:val="2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МЖКХиЭ НСО - министерство жилищно-коммунального хозяйства и энергетики Новосибирской области;</w:t>
      </w:r>
      <w:r>
        <w:rPr>
          <w:sz w:val="20"/>
          <w:szCs w:val="20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МО - муниципальные образования Новосибирской области;</w:t>
      </w:r>
      <w:r>
        <w:rPr>
          <w:sz w:val="20"/>
          <w:szCs w:val="20"/>
        </w:rPr>
      </w:r>
      <w:r/>
    </w:p>
    <w:p>
      <w:pPr>
        <w:ind w:left="0" w:right="0" w:firstLine="0"/>
        <w:jc w:val="both"/>
        <w:spacing w:before="0" w:after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ГИС НСО «ПЦУ НСО» – государственная информационная система «Программно-целевое управление в Новосибирской области»; </w:t>
      </w:r>
      <w:r>
        <w:rPr>
          <w:sz w:val="20"/>
          <w:szCs w:val="20"/>
        </w:rPr>
      </w:r>
      <w:r/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ГКУ НСО – ГКУ НСО «Проектная дирекция министерства жилищно-коммунального хозяйства и энергетики Новосибирской области».</w:t>
      </w:r>
      <w:r>
        <w:rPr>
          <w:rFonts w:ascii="Times New Roman" w:hAnsi="Times New Roman" w:cs="Times New Roman"/>
          <w:sz w:val="20"/>
          <w:szCs w:val="20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134" w:right="567" w:bottom="1134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51583339"/>
      <w:docPartObj>
        <w:docPartGallery w:val="Page Numbers (Top of Page)"/>
        <w:docPartUnique w:val="true"/>
      </w:docPartObj>
      <w:rPr/>
    </w:sdtPr>
    <w:sdtContent>
      <w:p>
        <w:pPr>
          <w:pStyle w:val="854"/>
          <w:ind w:firstLine="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11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57">
    <w:name w:val="Heading 1"/>
    <w:basedOn w:val="656"/>
    <w:next w:val="656"/>
    <w:link w:val="684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58">
    <w:name w:val="Heading 2"/>
    <w:basedOn w:val="656"/>
    <w:next w:val="656"/>
    <w:link w:val="685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59">
    <w:name w:val="Heading 3"/>
    <w:basedOn w:val="656"/>
    <w:next w:val="656"/>
    <w:link w:val="686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0">
    <w:name w:val="Heading 4"/>
    <w:basedOn w:val="656"/>
    <w:next w:val="656"/>
    <w:link w:val="687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661">
    <w:name w:val="Heading 5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2">
    <w:name w:val="Heading 6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3">
    <w:name w:val="Heading 7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5">
    <w:name w:val="Heading 9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6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6"/>
    <w:next w:val="656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6"/>
    <w:link w:val="695"/>
    <w:uiPriority w:val="10"/>
    <w:rPr>
      <w:sz w:val="48"/>
      <w:szCs w:val="48"/>
    </w:rPr>
  </w:style>
  <w:style w:type="paragraph" w:styleId="697">
    <w:name w:val="Subtitle"/>
    <w:basedOn w:val="656"/>
    <w:next w:val="6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6"/>
    <w:link w:val="697"/>
    <w:uiPriority w:val="11"/>
    <w:rPr>
      <w:sz w:val="24"/>
      <w:szCs w:val="24"/>
    </w:rPr>
  </w:style>
  <w:style w:type="paragraph" w:styleId="699">
    <w:name w:val="Quote"/>
    <w:basedOn w:val="656"/>
    <w:next w:val="656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6"/>
    <w:next w:val="656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character" w:styleId="703" w:customStyle="1">
    <w:name w:val="Header Char"/>
    <w:basedOn w:val="666"/>
    <w:uiPriority w:val="99"/>
  </w:style>
  <w:style w:type="character" w:styleId="704" w:customStyle="1">
    <w:name w:val="Footer Char"/>
    <w:basedOn w:val="666"/>
    <w:uiPriority w:val="99"/>
  </w:style>
  <w:style w:type="paragraph" w:styleId="705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6" w:customStyle="1">
    <w:name w:val="Caption Char"/>
    <w:uiPriority w:val="99"/>
  </w:style>
  <w:style w:type="table" w:styleId="707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56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66"/>
    <w:uiPriority w:val="99"/>
    <w:unhideWhenUsed/>
    <w:rPr>
      <w:vertAlign w:val="superscript"/>
    </w:rPr>
  </w:style>
  <w:style w:type="paragraph" w:styleId="836">
    <w:name w:val="endnote text"/>
    <w:basedOn w:val="656"/>
    <w:link w:val="837"/>
    <w:uiPriority w:val="99"/>
    <w:semiHidden/>
    <w:unhideWhenUsed/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66"/>
    <w:uiPriority w:val="99"/>
    <w:semiHidden/>
    <w:unhideWhenUsed/>
    <w:rPr>
      <w:vertAlign w:val="superscript"/>
    </w:rPr>
  </w:style>
  <w:style w:type="paragraph" w:styleId="839">
    <w:name w:val="toc 1"/>
    <w:basedOn w:val="656"/>
    <w:next w:val="656"/>
    <w:uiPriority w:val="39"/>
    <w:unhideWhenUsed/>
    <w:pPr>
      <w:ind w:firstLine="0"/>
      <w:spacing w:after="57"/>
    </w:pPr>
  </w:style>
  <w:style w:type="paragraph" w:styleId="840">
    <w:name w:val="toc 2"/>
    <w:basedOn w:val="656"/>
    <w:next w:val="656"/>
    <w:uiPriority w:val="39"/>
    <w:unhideWhenUsed/>
    <w:pPr>
      <w:ind w:left="283" w:firstLine="0"/>
      <w:spacing w:after="57"/>
    </w:pPr>
  </w:style>
  <w:style w:type="paragraph" w:styleId="841">
    <w:name w:val="toc 3"/>
    <w:basedOn w:val="656"/>
    <w:next w:val="656"/>
    <w:uiPriority w:val="39"/>
    <w:unhideWhenUsed/>
    <w:pPr>
      <w:ind w:left="567" w:firstLine="0"/>
      <w:spacing w:after="57"/>
    </w:pPr>
  </w:style>
  <w:style w:type="paragraph" w:styleId="842">
    <w:name w:val="toc 4"/>
    <w:basedOn w:val="656"/>
    <w:next w:val="656"/>
    <w:uiPriority w:val="39"/>
    <w:unhideWhenUsed/>
    <w:pPr>
      <w:ind w:left="850" w:firstLine="0"/>
      <w:spacing w:after="57"/>
    </w:pPr>
  </w:style>
  <w:style w:type="paragraph" w:styleId="843">
    <w:name w:val="toc 5"/>
    <w:basedOn w:val="656"/>
    <w:next w:val="656"/>
    <w:uiPriority w:val="39"/>
    <w:unhideWhenUsed/>
    <w:pPr>
      <w:ind w:left="1134" w:firstLine="0"/>
      <w:spacing w:after="57"/>
    </w:pPr>
  </w:style>
  <w:style w:type="paragraph" w:styleId="844">
    <w:name w:val="toc 6"/>
    <w:basedOn w:val="656"/>
    <w:next w:val="656"/>
    <w:uiPriority w:val="39"/>
    <w:unhideWhenUsed/>
    <w:pPr>
      <w:ind w:left="1417" w:firstLine="0"/>
      <w:spacing w:after="57"/>
    </w:pPr>
  </w:style>
  <w:style w:type="paragraph" w:styleId="845">
    <w:name w:val="toc 7"/>
    <w:basedOn w:val="656"/>
    <w:next w:val="656"/>
    <w:uiPriority w:val="39"/>
    <w:unhideWhenUsed/>
    <w:pPr>
      <w:ind w:left="1701" w:firstLine="0"/>
      <w:spacing w:after="57"/>
    </w:pPr>
  </w:style>
  <w:style w:type="paragraph" w:styleId="846">
    <w:name w:val="toc 8"/>
    <w:basedOn w:val="656"/>
    <w:next w:val="656"/>
    <w:uiPriority w:val="39"/>
    <w:unhideWhenUsed/>
    <w:pPr>
      <w:ind w:left="1984" w:firstLine="0"/>
      <w:spacing w:after="57"/>
    </w:pPr>
  </w:style>
  <w:style w:type="paragraph" w:styleId="847">
    <w:name w:val="toc 9"/>
    <w:basedOn w:val="656"/>
    <w:next w:val="656"/>
    <w:uiPriority w:val="39"/>
    <w:unhideWhenUsed/>
    <w:pPr>
      <w:ind w:left="2268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6"/>
    <w:next w:val="656"/>
    <w:uiPriority w:val="99"/>
    <w:unhideWhenUsed/>
  </w:style>
  <w:style w:type="paragraph" w:styleId="850">
    <w:name w:val="Normal (Web)"/>
    <w:basedOn w:val="656"/>
    <w:uiPriority w:val="99"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51" w:customStyle="1">
    <w:name w:val="305484"/>
    <w:basedOn w:val="656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table" w:styleId="852">
    <w:name w:val="Table Grid"/>
    <w:basedOn w:val="66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3" w:customStyle="1">
    <w:name w:val="docdata"/>
    <w:basedOn w:val="666"/>
  </w:style>
  <w:style w:type="paragraph" w:styleId="854">
    <w:name w:val="Header"/>
    <w:basedOn w:val="656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666"/>
    <w:link w:val="854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856">
    <w:name w:val="Footer"/>
    <w:basedOn w:val="6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666"/>
    <w:link w:val="856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858" w:customStyle="1">
    <w:name w:val="Table Paragraph"/>
    <w:basedOn w:val="854"/>
    <w:uiPriority w:val="1"/>
    <w:qFormat/>
    <w:pPr>
      <w:ind w:firstLine="0"/>
      <w:jc w:val="left"/>
      <w:shd w:val="clear" w:color="ffffff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4"/>
      <w:szCs w:val="24"/>
      <w:lang w:eastAsia="zh-CN" w:bidi="hi-IN"/>
    </w:rPr>
  </w:style>
  <w:style w:type="paragraph" w:styleId="859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60" w:customStyle="1">
    <w:name w:val="docy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alloon Text"/>
    <w:basedOn w:val="656"/>
    <w:link w:val="8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66"/>
    <w:link w:val="86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BAC8182A14CF8C9B62D6F43881DC3989AC779050FAB1371F96B9A216D19CE87439AC9353CFE32AE0FC52EB78CCB5I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revision>11</cp:revision>
  <dcterms:created xsi:type="dcterms:W3CDTF">2023-10-13T06:02:00Z</dcterms:created>
  <dcterms:modified xsi:type="dcterms:W3CDTF">2023-10-17T08:45:17Z</dcterms:modified>
</cp:coreProperties>
</file>