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6C" w:rsidRPr="00DB07C9" w:rsidRDefault="009F2CCB" w:rsidP="008E51A9">
      <w:pPr>
        <w:spacing w:after="100" w:afterAutospacing="1" w:line="240" w:lineRule="auto"/>
        <w:contextualSpacing/>
        <w:jc w:val="center"/>
      </w:pPr>
      <w:r w:rsidRPr="00DB07C9">
        <w:t>ЗАКЛЮЧЕНИЕ</w:t>
      </w:r>
    </w:p>
    <w:p w:rsidR="009E616C" w:rsidRPr="00DB07C9" w:rsidRDefault="009E616C" w:rsidP="008E51A9">
      <w:pPr>
        <w:spacing w:after="100" w:afterAutospacing="1" w:line="240" w:lineRule="auto"/>
        <w:contextualSpacing/>
        <w:jc w:val="center"/>
      </w:pPr>
      <w:r w:rsidRPr="00DB07C9">
        <w:t xml:space="preserve">об учете замечаний и предложений и (или) причинах их отклонений, поступивших в рамках общественного обсуждения проекта территориальной схемы в области обращения с отходами, в том числе с твердыми коммунальными отходами, Новосибирской области от </w:t>
      </w:r>
      <w:r w:rsidR="00D86BBB">
        <w:t>1</w:t>
      </w:r>
      <w:r w:rsidR="005947DB">
        <w:t>3</w:t>
      </w:r>
      <w:r w:rsidRPr="00DB07C9">
        <w:t>.</w:t>
      </w:r>
      <w:r w:rsidR="00D46CB9">
        <w:t>03</w:t>
      </w:r>
      <w:r w:rsidRPr="00DB07C9">
        <w:t>.202</w:t>
      </w:r>
      <w:r w:rsidR="00D46CB9">
        <w:t>3</w:t>
      </w:r>
    </w:p>
    <w:p w:rsidR="009E616C" w:rsidRPr="00DB07C9" w:rsidRDefault="009E616C" w:rsidP="008E51A9">
      <w:pPr>
        <w:spacing w:after="100" w:afterAutospacing="1"/>
        <w:contextualSpacing/>
        <w:jc w:val="center"/>
      </w:pPr>
    </w:p>
    <w:tbl>
      <w:tblPr>
        <w:tblStyle w:val="a3"/>
        <w:tblW w:w="156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665"/>
        <w:gridCol w:w="2071"/>
        <w:gridCol w:w="5620"/>
        <w:gridCol w:w="3151"/>
      </w:tblGrid>
      <w:tr w:rsidR="00EE2B99" w:rsidRPr="00DB07C9" w:rsidTr="00831E56">
        <w:trPr>
          <w:trHeight w:val="1652"/>
          <w:tblHeader/>
        </w:trPr>
        <w:tc>
          <w:tcPr>
            <w:tcW w:w="568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№ п/п</w:t>
            </w:r>
          </w:p>
        </w:tc>
        <w:tc>
          <w:tcPr>
            <w:tcW w:w="2551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Лицо (организация) направившее замечание (предложение) к проекту Постановления</w:t>
            </w:r>
          </w:p>
        </w:tc>
        <w:tc>
          <w:tcPr>
            <w:tcW w:w="1665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Реквизиты документа о направлении замечаний (предложений) к актуализации проекта территориальной схемы</w:t>
            </w:r>
          </w:p>
        </w:tc>
        <w:tc>
          <w:tcPr>
            <w:tcW w:w="2071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Раздел/таблица/</w:t>
            </w:r>
          </w:p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приложение проекта территориальной схемы</w:t>
            </w:r>
          </w:p>
        </w:tc>
        <w:tc>
          <w:tcPr>
            <w:tcW w:w="5620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Замечания и предложения</w:t>
            </w:r>
          </w:p>
        </w:tc>
        <w:tc>
          <w:tcPr>
            <w:tcW w:w="3151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Результат рассмотрения</w:t>
            </w:r>
          </w:p>
        </w:tc>
      </w:tr>
      <w:tr w:rsidR="00EE2B99" w:rsidRPr="00DB07C9" w:rsidTr="00831E56">
        <w:trPr>
          <w:trHeight w:val="130"/>
        </w:trPr>
        <w:tc>
          <w:tcPr>
            <w:tcW w:w="568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1</w:t>
            </w:r>
          </w:p>
        </w:tc>
        <w:tc>
          <w:tcPr>
            <w:tcW w:w="2551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2</w:t>
            </w:r>
          </w:p>
        </w:tc>
        <w:tc>
          <w:tcPr>
            <w:tcW w:w="1665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3</w:t>
            </w:r>
          </w:p>
        </w:tc>
        <w:tc>
          <w:tcPr>
            <w:tcW w:w="2071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4</w:t>
            </w:r>
          </w:p>
        </w:tc>
        <w:tc>
          <w:tcPr>
            <w:tcW w:w="5620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5</w:t>
            </w:r>
          </w:p>
        </w:tc>
        <w:tc>
          <w:tcPr>
            <w:tcW w:w="3151" w:type="dxa"/>
          </w:tcPr>
          <w:p w:rsidR="00346117" w:rsidRPr="00DB07C9" w:rsidRDefault="00346117" w:rsidP="008E51A9">
            <w:pPr>
              <w:spacing w:after="100" w:afterAutospacing="1"/>
              <w:contextualSpacing/>
              <w:jc w:val="center"/>
            </w:pPr>
            <w:r w:rsidRPr="00DB07C9">
              <w:t>6</w:t>
            </w:r>
          </w:p>
        </w:tc>
      </w:tr>
      <w:tr w:rsidR="000E7E14" w:rsidRPr="00DB07C9" w:rsidTr="00831E56">
        <w:trPr>
          <w:trHeight w:val="130"/>
        </w:trPr>
        <w:tc>
          <w:tcPr>
            <w:tcW w:w="568" w:type="dxa"/>
          </w:tcPr>
          <w:p w:rsidR="000E7E14" w:rsidRPr="00DB07C9" w:rsidRDefault="00106618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E7E14" w:rsidRPr="00DB07C9" w:rsidRDefault="00106618" w:rsidP="00106618">
            <w:pPr>
              <w:spacing w:after="100" w:afterAutospacing="1"/>
              <w:contextualSpacing/>
              <w:jc w:val="center"/>
            </w:pPr>
            <w:r>
              <w:t>Администрация Колыванского района Новосибирской области</w:t>
            </w:r>
          </w:p>
        </w:tc>
        <w:tc>
          <w:tcPr>
            <w:tcW w:w="1665" w:type="dxa"/>
          </w:tcPr>
          <w:p w:rsidR="000E7E14" w:rsidRPr="00DB07C9" w:rsidRDefault="00106618" w:rsidP="008E51A9">
            <w:pPr>
              <w:spacing w:after="100" w:afterAutospacing="1"/>
              <w:contextualSpacing/>
              <w:jc w:val="center"/>
            </w:pPr>
            <w:r>
              <w:t>№ 1056/77 от 22.02.2023</w:t>
            </w:r>
          </w:p>
        </w:tc>
        <w:tc>
          <w:tcPr>
            <w:tcW w:w="2071" w:type="dxa"/>
          </w:tcPr>
          <w:p w:rsidR="000E7E14" w:rsidRPr="00DB07C9" w:rsidRDefault="00106618" w:rsidP="008E51A9">
            <w:pPr>
              <w:spacing w:after="100" w:afterAutospacing="1"/>
              <w:contextualSpacing/>
              <w:jc w:val="center"/>
            </w:pPr>
            <w:r>
              <w:t>Таблица 13.1</w:t>
            </w:r>
          </w:p>
        </w:tc>
        <w:tc>
          <w:tcPr>
            <w:tcW w:w="5620" w:type="dxa"/>
          </w:tcPr>
          <w:p w:rsidR="00792460" w:rsidRDefault="00792460" w:rsidP="00792460">
            <w:pPr>
              <w:spacing w:after="100" w:afterAutospacing="1"/>
              <w:contextualSpacing/>
              <w:jc w:val="both"/>
            </w:pPr>
            <w:r>
              <w:t>Предложение об изложении пункта 27 т</w:t>
            </w:r>
            <w:r w:rsidRPr="00792460">
              <w:t>аблицы 13.1 – в следующей редакции:</w:t>
            </w:r>
          </w:p>
          <w:p w:rsidR="00792460" w:rsidRDefault="00792460" w:rsidP="00792460">
            <w:pPr>
              <w:spacing w:after="100" w:afterAutospacing="1"/>
              <w:contextualSpacing/>
              <w:jc w:val="both"/>
            </w:pPr>
            <w:r>
              <w:t>ближайший населенный пункт - р.п.</w:t>
            </w:r>
            <w:r w:rsidR="007C368B">
              <w:t> </w:t>
            </w:r>
            <w:r>
              <w:t>Колывань;</w:t>
            </w:r>
          </w:p>
          <w:p w:rsidR="00792460" w:rsidRDefault="00792460" w:rsidP="00792460">
            <w:pPr>
              <w:spacing w:after="100" w:afterAutospacing="1"/>
              <w:contextualSpacing/>
              <w:jc w:val="both"/>
            </w:pPr>
            <w:r>
              <w:t xml:space="preserve">кадастровый номер земельного участка - часть земельного участка 54:10:028210:24; </w:t>
            </w:r>
          </w:p>
          <w:p w:rsidR="00792460" w:rsidRDefault="00792460" w:rsidP="00792460">
            <w:pPr>
              <w:spacing w:after="100" w:afterAutospacing="1"/>
              <w:contextualSpacing/>
              <w:jc w:val="both"/>
            </w:pPr>
            <w:r>
              <w:t>удаленность от населенного пункта, м – 1000;</w:t>
            </w:r>
          </w:p>
          <w:p w:rsidR="00792460" w:rsidRDefault="00792460" w:rsidP="00792460">
            <w:pPr>
              <w:spacing w:after="100" w:afterAutospacing="1"/>
              <w:contextualSpacing/>
              <w:jc w:val="both"/>
            </w:pPr>
            <w:r>
              <w:t>площадь земельного участка, га – 2,48;</w:t>
            </w:r>
          </w:p>
          <w:p w:rsidR="000E7E14" w:rsidRPr="00DB07C9" w:rsidRDefault="00792460" w:rsidP="00792460">
            <w:pPr>
              <w:spacing w:after="100" w:afterAutospacing="1"/>
              <w:contextualSpacing/>
              <w:jc w:val="both"/>
            </w:pPr>
            <w:r>
              <w:t>категория земель – промышленности.</w:t>
            </w:r>
          </w:p>
        </w:tc>
        <w:tc>
          <w:tcPr>
            <w:tcW w:w="3151" w:type="dxa"/>
          </w:tcPr>
          <w:p w:rsidR="000E7E14" w:rsidRPr="00DB07C9" w:rsidRDefault="00792460" w:rsidP="00AB6A0C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917844" w:rsidRPr="00DB07C9" w:rsidTr="00831E56">
        <w:trPr>
          <w:trHeight w:val="130"/>
        </w:trPr>
        <w:tc>
          <w:tcPr>
            <w:tcW w:w="568" w:type="dxa"/>
          </w:tcPr>
          <w:p w:rsidR="00917844" w:rsidRPr="00DB07C9" w:rsidRDefault="00917844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 w:val="restart"/>
          </w:tcPr>
          <w:p w:rsidR="00917844" w:rsidRPr="00DB07C9" w:rsidRDefault="00917844" w:rsidP="008E51A9">
            <w:pPr>
              <w:spacing w:after="100" w:afterAutospacing="1"/>
              <w:contextualSpacing/>
              <w:jc w:val="center"/>
            </w:pPr>
            <w:r w:rsidRPr="002A67A2">
              <w:t>Администрация Болотнинского района Новосибирской области</w:t>
            </w:r>
          </w:p>
        </w:tc>
        <w:tc>
          <w:tcPr>
            <w:tcW w:w="1665" w:type="dxa"/>
            <w:vMerge w:val="restart"/>
          </w:tcPr>
          <w:p w:rsidR="00917844" w:rsidRPr="00DB07C9" w:rsidRDefault="00917844" w:rsidP="002A67A2">
            <w:pPr>
              <w:spacing w:after="100" w:afterAutospacing="1"/>
              <w:contextualSpacing/>
              <w:jc w:val="center"/>
            </w:pPr>
            <w:r>
              <w:t>№ 685/71-Исх от 21.02.2023</w:t>
            </w:r>
          </w:p>
        </w:tc>
        <w:tc>
          <w:tcPr>
            <w:tcW w:w="2071" w:type="dxa"/>
          </w:tcPr>
          <w:p w:rsidR="00917844" w:rsidRPr="00DB07C9" w:rsidRDefault="00917844" w:rsidP="002A67A2">
            <w:pPr>
              <w:spacing w:after="100" w:afterAutospacing="1"/>
              <w:contextualSpacing/>
              <w:jc w:val="center"/>
            </w:pPr>
            <w:r>
              <w:t>П</w:t>
            </w:r>
            <w:r w:rsidRPr="002A67A2">
              <w:t>риложение №</w:t>
            </w:r>
            <w:r>
              <w:t> </w:t>
            </w:r>
            <w:r w:rsidRPr="002A67A2">
              <w:t>4.3 к территориальной схеме</w:t>
            </w:r>
          </w:p>
        </w:tc>
        <w:tc>
          <w:tcPr>
            <w:tcW w:w="5620" w:type="dxa"/>
          </w:tcPr>
          <w:p w:rsidR="00917844" w:rsidRPr="00DB07C9" w:rsidRDefault="00917844" w:rsidP="00917844">
            <w:pPr>
              <w:spacing w:after="100" w:afterAutospacing="1"/>
              <w:contextualSpacing/>
              <w:jc w:val="both"/>
            </w:pPr>
            <w:r>
              <w:t>Администрация Болотнинского района Новосибирской области против размещения коммунальных отходов с территорий Балтинского, Широкоярского, р.п. Станционно-Ояшинского сельсоветов Мошковского района Новосибирской области на полигоне захоронения твердых коммунальных отходов г. Болотное Болотнинского района Новосибирской области (приложение № 4.3 к территориальной схеме обращения с отходами, в том числе с твердыми коммунальными отходами).</w:t>
            </w:r>
          </w:p>
        </w:tc>
        <w:tc>
          <w:tcPr>
            <w:tcW w:w="3151" w:type="dxa"/>
          </w:tcPr>
          <w:p w:rsidR="00917844" w:rsidRDefault="00917844" w:rsidP="00822A5E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917844" w:rsidRPr="00DB07C9" w:rsidRDefault="00917844" w:rsidP="00822A5E">
            <w:pPr>
              <w:spacing w:after="100" w:afterAutospacing="1"/>
              <w:contextualSpacing/>
              <w:jc w:val="both"/>
            </w:pPr>
            <w:r>
              <w:t>Предложение</w:t>
            </w:r>
            <w:r w:rsidRPr="00AB6A0C">
              <w:t xml:space="preserve"> об изменении направления потоков отходов</w:t>
            </w:r>
            <w:r>
              <w:t xml:space="preserve"> </w:t>
            </w:r>
            <w:r w:rsidRPr="00AB6A0C">
              <w:t>признано нецелесообразным</w:t>
            </w:r>
            <w:r>
              <w:t xml:space="preserve"> в связи с увеличением расстояния транспортирования отходов до объекта размещения отходов.</w:t>
            </w:r>
          </w:p>
        </w:tc>
      </w:tr>
      <w:tr w:rsidR="00917844" w:rsidRPr="00DB07C9" w:rsidTr="00831E56">
        <w:trPr>
          <w:trHeight w:val="130"/>
        </w:trPr>
        <w:tc>
          <w:tcPr>
            <w:tcW w:w="568" w:type="dxa"/>
          </w:tcPr>
          <w:p w:rsidR="00917844" w:rsidRPr="00DB07C9" w:rsidRDefault="00917844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917844" w:rsidRPr="002A67A2" w:rsidRDefault="00917844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917844" w:rsidRDefault="00917844" w:rsidP="002A67A2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917844" w:rsidRDefault="00917844" w:rsidP="002A67A2">
            <w:pPr>
              <w:spacing w:after="100" w:afterAutospacing="1"/>
              <w:contextualSpacing/>
              <w:jc w:val="center"/>
            </w:pPr>
            <w:r>
              <w:t>Приложение 5</w:t>
            </w:r>
          </w:p>
        </w:tc>
        <w:tc>
          <w:tcPr>
            <w:tcW w:w="5620" w:type="dxa"/>
          </w:tcPr>
          <w:p w:rsidR="00917844" w:rsidRDefault="00917844" w:rsidP="002A67A2">
            <w:pPr>
              <w:spacing w:after="100" w:afterAutospacing="1"/>
              <w:contextualSpacing/>
              <w:jc w:val="both"/>
            </w:pPr>
            <w:r>
              <w:t>Также отсутствует необходимость строительства площадки временного накопления отходов «</w:t>
            </w:r>
            <w:proofErr w:type="spellStart"/>
            <w:r>
              <w:t>Новочебульская</w:t>
            </w:r>
            <w:proofErr w:type="spellEnd"/>
            <w:r>
              <w:t>» в д. Новая Чебула Болотнинского района Новосибирской области (приложение № 5 к территориальной схеме обращения с отходами, в том числе с твердыми коммунальными отходами).</w:t>
            </w:r>
          </w:p>
        </w:tc>
        <w:tc>
          <w:tcPr>
            <w:tcW w:w="3151" w:type="dxa"/>
          </w:tcPr>
          <w:p w:rsidR="00917844" w:rsidRDefault="00917844" w:rsidP="00917844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917844" w:rsidRDefault="00917844" w:rsidP="00917844">
            <w:pPr>
              <w:spacing w:after="100" w:afterAutospacing="1"/>
              <w:contextualSpacing/>
              <w:jc w:val="both"/>
            </w:pPr>
            <w:r>
              <w:t>В разделе 13.3. указано, что первоочередно планируется строительство 16 площадок временного накопления отходов (далее – ПВН) вблизи районных центров, вблизи которых отсутствуют ОРО. В дальнейшем будет рассмотрен вопрос целесообразности строительства большего количества ПВН (Протокол от 24.11.2021 № 83-03/17-В комиссии по вопросам совершенствования системы обращения с отходами производства и потребления в Новосибирской области, утвержденной постановлением Правительства Новосибирской области от 13.07.2015 № 249-п).</w:t>
            </w:r>
          </w:p>
          <w:p w:rsidR="00917844" w:rsidRDefault="00917844" w:rsidP="00917844">
            <w:pPr>
              <w:spacing w:after="100" w:afterAutospacing="1"/>
              <w:contextualSpacing/>
              <w:jc w:val="both"/>
            </w:pPr>
            <w:r>
              <w:t>Таким образом, в ближайшее время строительство ПВН на территории Болотнинского района Новосибирской области не предусмотрено</w:t>
            </w:r>
          </w:p>
        </w:tc>
      </w:tr>
      <w:tr w:rsidR="000E7E14" w:rsidRPr="00DB07C9" w:rsidTr="00831E56">
        <w:trPr>
          <w:trHeight w:val="130"/>
        </w:trPr>
        <w:tc>
          <w:tcPr>
            <w:tcW w:w="568" w:type="dxa"/>
          </w:tcPr>
          <w:p w:rsidR="000E7E14" w:rsidRPr="00DB07C9" w:rsidRDefault="000E7E14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0E7E14" w:rsidRPr="00DB07C9" w:rsidRDefault="004324B1" w:rsidP="008E51A9">
            <w:pPr>
              <w:spacing w:after="100" w:afterAutospacing="1"/>
              <w:contextualSpacing/>
              <w:jc w:val="center"/>
            </w:pPr>
            <w:r>
              <w:t>Администрация города Искитима Новосибирской области</w:t>
            </w:r>
          </w:p>
        </w:tc>
        <w:tc>
          <w:tcPr>
            <w:tcW w:w="1665" w:type="dxa"/>
          </w:tcPr>
          <w:p w:rsidR="000E7E14" w:rsidRPr="00DB07C9" w:rsidRDefault="004324B1" w:rsidP="004324B1">
            <w:pPr>
              <w:spacing w:after="100" w:afterAutospacing="1"/>
              <w:contextualSpacing/>
              <w:jc w:val="center"/>
            </w:pPr>
            <w:r>
              <w:t>№ 01-3-09-2608/66-ис от 27.02.2023</w:t>
            </w:r>
          </w:p>
        </w:tc>
        <w:tc>
          <w:tcPr>
            <w:tcW w:w="2071" w:type="dxa"/>
          </w:tcPr>
          <w:p w:rsidR="000E7E14" w:rsidRPr="00DB07C9" w:rsidRDefault="0086460E" w:rsidP="008E51A9">
            <w:pPr>
              <w:spacing w:after="100" w:afterAutospacing="1"/>
              <w:contextualSpacing/>
              <w:jc w:val="center"/>
            </w:pPr>
            <w:r>
              <w:t>Таблица 15.2</w:t>
            </w:r>
          </w:p>
        </w:tc>
        <w:tc>
          <w:tcPr>
            <w:tcW w:w="5620" w:type="dxa"/>
          </w:tcPr>
          <w:p w:rsidR="000E7E14" w:rsidRPr="00DB07C9" w:rsidRDefault="004324B1" w:rsidP="004324B1">
            <w:pPr>
              <w:spacing w:after="100" w:afterAutospacing="1"/>
              <w:contextualSpacing/>
              <w:jc w:val="both"/>
            </w:pPr>
            <w:r>
              <w:t>Региональным оператором указывается организация ООО «Экология-Новосибирск», которая с 11.02.2023 года лишена статуса регионального оператора по обращению с твердыми коммунальными отходами на территории Новосибирской области.</w:t>
            </w:r>
          </w:p>
        </w:tc>
        <w:tc>
          <w:tcPr>
            <w:tcW w:w="3151" w:type="dxa"/>
          </w:tcPr>
          <w:p w:rsidR="000E7E14" w:rsidRPr="00DB07C9" w:rsidRDefault="004324B1" w:rsidP="00822A5E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0E7E14" w:rsidRPr="00DB07C9" w:rsidTr="00831E56">
        <w:trPr>
          <w:trHeight w:val="130"/>
        </w:trPr>
        <w:tc>
          <w:tcPr>
            <w:tcW w:w="568" w:type="dxa"/>
          </w:tcPr>
          <w:p w:rsidR="000E7E14" w:rsidRPr="00DB07C9" w:rsidRDefault="000E7E14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0E7E14" w:rsidRPr="00DB07C9" w:rsidRDefault="0035246C" w:rsidP="008E51A9">
            <w:pPr>
              <w:spacing w:after="100" w:afterAutospacing="1"/>
              <w:contextualSpacing/>
              <w:jc w:val="center"/>
            </w:pPr>
            <w:r>
              <w:t xml:space="preserve">Управление Федеральной службы по надзору в сфере защиты прав потребителей и благополучия человека по Новосибирской области </w:t>
            </w:r>
          </w:p>
        </w:tc>
        <w:tc>
          <w:tcPr>
            <w:tcW w:w="1665" w:type="dxa"/>
          </w:tcPr>
          <w:p w:rsidR="000E7E14" w:rsidRPr="00DB07C9" w:rsidRDefault="0035246C" w:rsidP="0035246C">
            <w:pPr>
              <w:spacing w:after="100" w:afterAutospacing="1"/>
              <w:contextualSpacing/>
              <w:jc w:val="center"/>
            </w:pPr>
            <w:r>
              <w:t>№54-00-01/002-1613-2023 от 28.02.2023</w:t>
            </w:r>
          </w:p>
        </w:tc>
        <w:tc>
          <w:tcPr>
            <w:tcW w:w="2071" w:type="dxa"/>
          </w:tcPr>
          <w:p w:rsidR="000E7E14" w:rsidRPr="00DB07C9" w:rsidRDefault="0035246C" w:rsidP="0035246C">
            <w:pPr>
              <w:spacing w:after="100" w:afterAutospacing="1"/>
              <w:contextualSpacing/>
              <w:jc w:val="center"/>
            </w:pPr>
            <w:r>
              <w:t>Таблица 15.2, раздел 13.3</w:t>
            </w:r>
          </w:p>
        </w:tc>
        <w:tc>
          <w:tcPr>
            <w:tcW w:w="5620" w:type="dxa"/>
          </w:tcPr>
          <w:p w:rsidR="000E7E14" w:rsidRDefault="0035246C" w:rsidP="0035246C">
            <w:pPr>
              <w:spacing w:after="100" w:afterAutospacing="1"/>
              <w:contextualSpacing/>
              <w:jc w:val="both"/>
            </w:pPr>
            <w:r>
              <w:t>- актуализировать регионального оператора по обращению с ТКО на территории Новосибирской области;</w:t>
            </w:r>
          </w:p>
          <w:p w:rsidR="0035246C" w:rsidRPr="00DB07C9" w:rsidRDefault="0035246C" w:rsidP="0035246C">
            <w:pPr>
              <w:spacing w:after="100" w:afterAutospacing="1"/>
              <w:contextualSpacing/>
              <w:jc w:val="both"/>
            </w:pPr>
            <w:r>
              <w:t xml:space="preserve">- дополнить раздел «13.3. </w:t>
            </w:r>
            <w:r w:rsidR="00831E56">
              <w:t>Перечень</w:t>
            </w:r>
            <w:r>
              <w:t xml:space="preserve"> мероприятий по дооснащению, модернизации или реконструкции объектов размещения ТКО и предварительные сроки реализации мероприятий» информацией о необходимости наличия у ОРО ТКО установленных санитарно-защитных зон (СанПиН 2.2.1/2.1.1.1200-03 «Санитарно-защитные зоны и санитарная классификация предприятий, сооружений и иных объектов»).</w:t>
            </w:r>
          </w:p>
        </w:tc>
        <w:tc>
          <w:tcPr>
            <w:tcW w:w="3151" w:type="dxa"/>
          </w:tcPr>
          <w:p w:rsidR="000E7E14" w:rsidRPr="00DB07C9" w:rsidRDefault="0035246C" w:rsidP="00822A5E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86460E" w:rsidRPr="00DB07C9" w:rsidTr="00831E56">
        <w:trPr>
          <w:trHeight w:val="130"/>
        </w:trPr>
        <w:tc>
          <w:tcPr>
            <w:tcW w:w="568" w:type="dxa"/>
          </w:tcPr>
          <w:p w:rsidR="0086460E" w:rsidRPr="00DB07C9" w:rsidRDefault="0086460E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86460E" w:rsidRDefault="0086460E" w:rsidP="008E51A9">
            <w:pPr>
              <w:spacing w:after="100" w:afterAutospacing="1"/>
              <w:contextualSpacing/>
              <w:jc w:val="center"/>
            </w:pPr>
            <w:r>
              <w:t>ООО «Эльжи»</w:t>
            </w:r>
          </w:p>
        </w:tc>
        <w:tc>
          <w:tcPr>
            <w:tcW w:w="1665" w:type="dxa"/>
          </w:tcPr>
          <w:p w:rsidR="0086460E" w:rsidRDefault="0086460E" w:rsidP="0035246C">
            <w:pPr>
              <w:spacing w:after="100" w:afterAutospacing="1"/>
              <w:contextualSpacing/>
              <w:jc w:val="center"/>
            </w:pPr>
            <w:r>
              <w:t xml:space="preserve">№ 11 от 01.03.2023 </w:t>
            </w:r>
          </w:p>
        </w:tc>
        <w:tc>
          <w:tcPr>
            <w:tcW w:w="2071" w:type="dxa"/>
          </w:tcPr>
          <w:p w:rsidR="0086460E" w:rsidRDefault="0086460E" w:rsidP="0035246C">
            <w:pPr>
              <w:spacing w:after="100" w:afterAutospacing="1"/>
              <w:contextualSpacing/>
              <w:jc w:val="center"/>
            </w:pPr>
            <w:r>
              <w:t>Таблица 13.6</w:t>
            </w:r>
            <w:r w:rsidR="004C299C">
              <w:t>, таблица 14.6</w:t>
            </w:r>
          </w:p>
        </w:tc>
        <w:tc>
          <w:tcPr>
            <w:tcW w:w="5620" w:type="dxa"/>
          </w:tcPr>
          <w:p w:rsidR="004C299C" w:rsidRDefault="004C299C" w:rsidP="004C299C">
            <w:pPr>
              <w:spacing w:after="100" w:afterAutospacing="1"/>
              <w:contextualSpacing/>
              <w:jc w:val="both"/>
            </w:pPr>
            <w:r>
              <w:t>В соответствии с Таблицей 13.6. - Перечень объектов размещения ТКО, подлежащих выведению из эксплуатации и рекультивации, и сроки реализации мероприятий  территориальной схемы обращения с отходами НСО Полигон по обезвреживанию бытовых отходов с кадастровым номером земельного участка: 54:07:047413:705, расположенный по адресу : Новосибирская область, р-н Искитимский, с/с Евсинский, в 2,7 км по направлению на восток от здания магазина д. Шадрино отнесен к объекту размещения отходов, подлежащему выведению из эксплуатации в 2026 году и рекультивации в 2029-2030г.г.</w:t>
            </w:r>
          </w:p>
          <w:p w:rsidR="004C299C" w:rsidRDefault="004C299C" w:rsidP="004C299C">
            <w:pPr>
              <w:spacing w:after="100" w:afterAutospacing="1"/>
              <w:contextualSpacing/>
              <w:jc w:val="both"/>
            </w:pPr>
            <w:r>
              <w:t>Оценочный объем капитальных вложений на выведение из эксплуатации и рекультивацию указанного полигона, внесенный в Территориальную схему, составляет 85 589,44 тыс. руб. (таблица 14.3 Территориальный схемы). При этом рекультивация планируется при условии обеспечения финансирования.</w:t>
            </w:r>
          </w:p>
          <w:p w:rsidR="004C299C" w:rsidRDefault="004C299C" w:rsidP="004C299C">
            <w:pPr>
              <w:spacing w:after="100" w:afterAutospacing="1"/>
              <w:contextualSpacing/>
              <w:jc w:val="both"/>
            </w:pPr>
            <w:r>
              <w:t>Количество размещенных отходов (по данным облётных замеров, проведенных на объекте 28.06.2022г, (Информация взята из Федеральной схемы обращения с твёрдыми коммунальными отходами Российского экологического оператора РЭО) остаточная вместимость полигона, м3(т) 227 994 (125 518).</w:t>
            </w:r>
          </w:p>
          <w:p w:rsidR="004C299C" w:rsidRDefault="004C299C" w:rsidP="004C299C">
            <w:pPr>
              <w:spacing w:after="100" w:afterAutospacing="1"/>
              <w:contextualSpacing/>
              <w:jc w:val="both"/>
            </w:pPr>
            <w:r>
              <w:t>Исходя из опубликованных данных, и в связи с переходом права собственности на данный объект, прошу внести корректировку в Перечень объектов размещения ТКО, подлежащих выведению из эксплуатации и рекультивации, и сроки реализации мероприятий по Полигону по обезвреживанию бытовых отходов с кадастровым номером земельного участка: 54:07:047413:705, расположенного по адресу: Новосибирская область, р-н Искитимский, с/с Евсинский, в 2,7 км по направлению на восток от здания магазина д. Шадрино.</w:t>
            </w:r>
          </w:p>
          <w:p w:rsidR="004C299C" w:rsidRDefault="004C299C" w:rsidP="004C299C">
            <w:pPr>
              <w:spacing w:after="100" w:afterAutospacing="1"/>
              <w:contextualSpacing/>
              <w:jc w:val="both"/>
            </w:pPr>
            <w:r>
              <w:t xml:space="preserve">Продлить сроки эксплуатации полигона, </w:t>
            </w:r>
            <w:proofErr w:type="spellStart"/>
            <w:proofErr w:type="gramStart"/>
            <w:r>
              <w:t>т.к</w:t>
            </w:r>
            <w:proofErr w:type="spellEnd"/>
            <w:proofErr w:type="gramEnd"/>
            <w:r>
              <w:t xml:space="preserve"> остаточная мощность полигона позволяет его дальнейшую эксплуатацию, тем самым исключаются капитальные вложения на данный полигон с целью выведения его из эксплуатации и рекультивации на ближайшие 10 - 15 лет.</w:t>
            </w:r>
          </w:p>
          <w:p w:rsidR="004C299C" w:rsidRDefault="004C299C" w:rsidP="004C299C">
            <w:pPr>
              <w:spacing w:after="100" w:afterAutospacing="1"/>
              <w:contextualSpacing/>
              <w:jc w:val="both"/>
            </w:pPr>
            <w:r>
              <w:t>Не нарушается действующая схема, при которой ТКО, образующиеся на территории р. п. Линево, Шибковского, Евсинского, Гусельниковского, Легостаевского сельсоветов Искитимского района, транспортируются на данный объект.</w:t>
            </w:r>
          </w:p>
          <w:p w:rsidR="0086460E" w:rsidRDefault="004C299C" w:rsidP="004C299C">
            <w:pPr>
              <w:spacing w:after="100" w:afterAutospacing="1"/>
              <w:contextualSpacing/>
              <w:jc w:val="both"/>
            </w:pPr>
            <w:r>
              <w:t xml:space="preserve">Полигон позволяет принимать промышленные отходы 4-5 </w:t>
            </w:r>
            <w:proofErr w:type="spellStart"/>
            <w:r>
              <w:t>кл</w:t>
            </w:r>
            <w:proofErr w:type="spellEnd"/>
            <w:r w:rsidR="007A2E79">
              <w:t xml:space="preserve">. </w:t>
            </w:r>
            <w:r>
              <w:t xml:space="preserve">опасности от близ лежащих промышленных предприятий, тем самым уменьшив транспортную нагрузку и </w:t>
            </w:r>
            <w:r w:rsidR="007A2E79">
              <w:t>соответственно,</w:t>
            </w:r>
            <w:r>
              <w:t xml:space="preserve"> снижение выбросов вредных веществ в </w:t>
            </w:r>
            <w:r w:rsidR="007A2E79">
              <w:t>атмосферу.</w:t>
            </w:r>
          </w:p>
        </w:tc>
        <w:tc>
          <w:tcPr>
            <w:tcW w:w="3151" w:type="dxa"/>
          </w:tcPr>
          <w:p w:rsidR="00822A5E" w:rsidRDefault="00822A5E" w:rsidP="007236D4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900692" w:rsidRDefault="00900692" w:rsidP="00900692">
            <w:pPr>
              <w:spacing w:after="100" w:afterAutospacing="1"/>
              <w:contextualSpacing/>
              <w:jc w:val="both"/>
            </w:pPr>
            <w:r>
              <w:t xml:space="preserve">Срок вывода из эксплуатации указанного объекта размещения отходов определен на основании заключения </w:t>
            </w:r>
          </w:p>
          <w:p w:rsidR="00900692" w:rsidRDefault="00900692" w:rsidP="00900692">
            <w:pPr>
              <w:spacing w:after="100" w:afterAutospacing="1"/>
              <w:contextualSpacing/>
              <w:jc w:val="both"/>
            </w:pPr>
            <w:r>
              <w:t>по результатам инвентаризации эксплуатируемого объекта размещения отходов</w:t>
            </w:r>
          </w:p>
          <w:p w:rsidR="00900692" w:rsidRDefault="00900692" w:rsidP="00900692">
            <w:pPr>
              <w:spacing w:after="100" w:afterAutospacing="1"/>
              <w:contextualSpacing/>
              <w:jc w:val="both"/>
            </w:pPr>
            <w:r>
              <w:t>Полигон захоронения твердых коммунальных отходов</w:t>
            </w:r>
          </w:p>
          <w:p w:rsidR="007236D4" w:rsidRDefault="00900692" w:rsidP="00900692">
            <w:pPr>
              <w:spacing w:after="100" w:afterAutospacing="1"/>
              <w:contextualSpacing/>
              <w:jc w:val="both"/>
            </w:pPr>
            <w:r>
              <w:t>Новосибирская область, Искитимский район, р.п. Линево, проведенного ФГБУ «ЦЛАТИ по СФО» в 2020 году.</w:t>
            </w:r>
          </w:p>
          <w:p w:rsidR="00900692" w:rsidRDefault="00900692" w:rsidP="00860D70">
            <w:pPr>
              <w:spacing w:after="100" w:afterAutospacing="1"/>
              <w:contextualSpacing/>
              <w:jc w:val="both"/>
            </w:pPr>
            <w:r>
              <w:t xml:space="preserve">Основания </w:t>
            </w:r>
            <w:r w:rsidR="00B5706D">
              <w:t xml:space="preserve">для </w:t>
            </w:r>
            <w:r>
              <w:t xml:space="preserve">переноса срока вывода </w:t>
            </w:r>
            <w:r w:rsidR="00B5706D">
              <w:t xml:space="preserve">указанного объекта </w:t>
            </w:r>
            <w:r>
              <w:t>из эксплуатации</w:t>
            </w:r>
            <w:r w:rsidR="00B5706D">
              <w:t xml:space="preserve"> на 2029 год </w:t>
            </w:r>
            <w:r w:rsidR="00860D70">
              <w:t xml:space="preserve">в </w:t>
            </w:r>
            <w:proofErr w:type="spellStart"/>
            <w:r w:rsidR="00860D70">
              <w:t>М</w:t>
            </w:r>
            <w:r>
              <w:t>ЖКХиЭ</w:t>
            </w:r>
            <w:proofErr w:type="spellEnd"/>
            <w:r>
              <w:t xml:space="preserve"> НСО отсутствуют.</w:t>
            </w:r>
          </w:p>
        </w:tc>
      </w:tr>
      <w:tr w:rsidR="000E7E14" w:rsidRPr="00DB07C9" w:rsidTr="00831E56">
        <w:trPr>
          <w:trHeight w:val="130"/>
        </w:trPr>
        <w:tc>
          <w:tcPr>
            <w:tcW w:w="568" w:type="dxa"/>
          </w:tcPr>
          <w:p w:rsidR="000E7E14" w:rsidRPr="00DB07C9" w:rsidRDefault="000E7E14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0E7E14" w:rsidRPr="00DB07C9" w:rsidRDefault="00F02E59" w:rsidP="008E51A9">
            <w:pPr>
              <w:spacing w:after="100" w:afterAutospacing="1"/>
              <w:contextualSpacing/>
              <w:jc w:val="center"/>
            </w:pPr>
            <w:r>
              <w:t>Департамент энергетики, жилищного и коммунального хозяйства города</w:t>
            </w:r>
          </w:p>
        </w:tc>
        <w:tc>
          <w:tcPr>
            <w:tcW w:w="1665" w:type="dxa"/>
          </w:tcPr>
          <w:p w:rsidR="000E7E14" w:rsidRPr="00DB07C9" w:rsidRDefault="00F02E59" w:rsidP="008E51A9">
            <w:pPr>
              <w:spacing w:after="100" w:afterAutospacing="1"/>
              <w:contextualSpacing/>
              <w:jc w:val="center"/>
            </w:pPr>
            <w:r>
              <w:t>№ 12/1/02034               от 02.03.2023</w:t>
            </w:r>
          </w:p>
        </w:tc>
        <w:tc>
          <w:tcPr>
            <w:tcW w:w="2071" w:type="dxa"/>
          </w:tcPr>
          <w:p w:rsidR="000E7E14" w:rsidRPr="00DB07C9" w:rsidRDefault="0086460E" w:rsidP="008E51A9">
            <w:pPr>
              <w:spacing w:after="100" w:afterAutospacing="1"/>
              <w:contextualSpacing/>
              <w:jc w:val="center"/>
            </w:pPr>
            <w:r>
              <w:t>Таблица 15.2</w:t>
            </w:r>
          </w:p>
        </w:tc>
        <w:tc>
          <w:tcPr>
            <w:tcW w:w="5620" w:type="dxa"/>
          </w:tcPr>
          <w:p w:rsidR="000E7E14" w:rsidRPr="00DB07C9" w:rsidRDefault="00F02E59" w:rsidP="00F02E59">
            <w:pPr>
              <w:spacing w:after="100" w:afterAutospacing="1"/>
              <w:contextualSpacing/>
              <w:jc w:val="both"/>
            </w:pPr>
            <w:r>
              <w:t>Уточнение в части наименования регионального оператора по обращению с твердыми коммунальными отходами.</w:t>
            </w:r>
          </w:p>
        </w:tc>
        <w:tc>
          <w:tcPr>
            <w:tcW w:w="3151" w:type="dxa"/>
          </w:tcPr>
          <w:p w:rsidR="000E7E14" w:rsidRPr="00DB07C9" w:rsidRDefault="00F02E59" w:rsidP="00920F37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4207DE" w:rsidRPr="00DB07C9" w:rsidTr="00831E56">
        <w:trPr>
          <w:trHeight w:val="130"/>
        </w:trPr>
        <w:tc>
          <w:tcPr>
            <w:tcW w:w="568" w:type="dxa"/>
          </w:tcPr>
          <w:p w:rsidR="004207DE" w:rsidRPr="00DB07C9" w:rsidRDefault="004207DE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4207DE" w:rsidRDefault="00975863" w:rsidP="008E51A9">
            <w:pPr>
              <w:spacing w:after="100" w:afterAutospacing="1"/>
              <w:contextualSpacing/>
              <w:jc w:val="center"/>
            </w:pPr>
            <w:r>
              <w:t>Муниципальное унитарное предприятие города Новосибирска «Спецавтохозяйство»</w:t>
            </w:r>
          </w:p>
        </w:tc>
        <w:tc>
          <w:tcPr>
            <w:tcW w:w="1665" w:type="dxa"/>
          </w:tcPr>
          <w:p w:rsidR="004207DE" w:rsidRDefault="00975863" w:rsidP="008E51A9">
            <w:pPr>
              <w:spacing w:after="100" w:afterAutospacing="1"/>
              <w:contextualSpacing/>
              <w:jc w:val="center"/>
            </w:pPr>
            <w:r>
              <w:t>№ 190 от 03.03.2023</w:t>
            </w:r>
          </w:p>
        </w:tc>
        <w:tc>
          <w:tcPr>
            <w:tcW w:w="2071" w:type="dxa"/>
          </w:tcPr>
          <w:p w:rsidR="004207DE" w:rsidRDefault="00975863" w:rsidP="00975863">
            <w:pPr>
              <w:spacing w:after="100" w:afterAutospacing="1"/>
              <w:contextualSpacing/>
              <w:jc w:val="center"/>
            </w:pPr>
            <w:r>
              <w:t>Раздел 12.5</w:t>
            </w:r>
          </w:p>
        </w:tc>
        <w:tc>
          <w:tcPr>
            <w:tcW w:w="5620" w:type="dxa"/>
          </w:tcPr>
          <w:p w:rsidR="00975863" w:rsidRPr="00242535" w:rsidRDefault="00975863" w:rsidP="00975863">
            <w:pPr>
              <w:ind w:left="-1"/>
              <w:jc w:val="both"/>
            </w:pPr>
            <w:r>
              <w:t>Прошу при обсуждении</w:t>
            </w:r>
            <w:r w:rsidRPr="00242535">
              <w:t xml:space="preserve"> проекта корректировки территориальной схема обращения с отходами рассмотреть вопросы, дать пояснения и учесть следующее:</w:t>
            </w:r>
          </w:p>
          <w:p w:rsidR="00975863" w:rsidRDefault="00975863" w:rsidP="00975863">
            <w:pPr>
              <w:spacing w:after="100" w:afterAutospacing="1"/>
              <w:contextualSpacing/>
              <w:jc w:val="both"/>
            </w:pPr>
            <w:r>
              <w:t>В п. 12.3 «Схема потоков ТКО» Территориальной схемы обращения с отходами, в том числе с твердыми коммунальными отходами Новосибирской области.</w:t>
            </w:r>
          </w:p>
          <w:p w:rsidR="00975863" w:rsidRDefault="00975863" w:rsidP="00975863">
            <w:pPr>
              <w:spacing w:after="100" w:afterAutospacing="1"/>
              <w:contextualSpacing/>
              <w:jc w:val="both"/>
            </w:pPr>
            <w:r>
              <w:t>Раздел: Транспортирование ТКО в городских округах: г. Новосибирск. г. Бердск. г. Обь, р.п. Кольцово в переходный период указано: «В переходный период до строительства и ввода в эксплуатацию правобережного и левобережного концессионных объектов действует схема, при которой ТКО, образующиеся на территории г. Новосибирска, г. Бердска, г. Оби, р.п. Кольцово, транспортируются в зависимости от конфигурации маршрута на ОРО, находящиеся вблизи г. Новосибирска: полигон «Гусинобродский», полигон «Левобережный», полигон вблизи г. Бердска. ВОПРОС: Учитывая, что ранее заключенное концессионное соглашение по строительству и вводу в эксплуатацию правобережного и левобережного концессионных объектов расторгнуто (прекращено), концессионные объекты не построены и не введены в эксплуатацию – сохраняется ли переходной период до строительства и ввода в эксплуатацию правобережного и левобережного концессионных объектов?</w:t>
            </w:r>
          </w:p>
          <w:p w:rsidR="004207DE" w:rsidRDefault="00975863" w:rsidP="00975863">
            <w:pPr>
              <w:spacing w:after="100" w:afterAutospacing="1"/>
              <w:contextualSpacing/>
              <w:jc w:val="both"/>
            </w:pPr>
            <w:r>
              <w:t>ВОПРОС: «п. 12.3 «Схема потоков ТКО» ...Транспортирование в зависимости от конфигурации маршрута на ОРО, находящиеся вблизи г. Новосибирска: полигон «Гусинобродский», полигон «Левобережный», полигон вблизи г. Бердска» –- допускает ли такая формулировка (трактовка) территориальной схемы, транспортирование ТКО с любого места накопления на территории г. Новосибирска, г. Бердска, г. Оби, р.п. Кольцово на любой из указанных ОРО (полигон «Гусинобродский», полигон «Левобережный», полигон вблизи г. Бердска)?, если не допускает, то в рамках каких схем потоков подлежит осуществлять транспортирование ТКО собранные в г. Новосибирске, г. Бердске, г. Оби, р.п. Кольцово и на указанные ОРО?</w:t>
            </w:r>
          </w:p>
        </w:tc>
        <w:tc>
          <w:tcPr>
            <w:tcW w:w="3151" w:type="dxa"/>
          </w:tcPr>
          <w:p w:rsidR="00920F37" w:rsidRDefault="00920F37" w:rsidP="00920F37">
            <w:pPr>
              <w:spacing w:after="100" w:afterAutospacing="1"/>
              <w:contextualSpacing/>
              <w:jc w:val="both"/>
            </w:pPr>
            <w:r>
              <w:t>РАЗЪЯСНЕНИЕ:</w:t>
            </w:r>
          </w:p>
          <w:p w:rsidR="004207DE" w:rsidRDefault="00116DBC" w:rsidP="00920F37">
            <w:pPr>
              <w:spacing w:after="100" w:afterAutospacing="1"/>
              <w:contextualSpacing/>
              <w:jc w:val="both"/>
            </w:pPr>
            <w:r>
              <w:t>Указанные</w:t>
            </w:r>
            <w:r w:rsidR="00920F37">
              <w:t xml:space="preserve"> в проекте территориальной схемы поток</w:t>
            </w:r>
            <w:r>
              <w:t>и</w:t>
            </w:r>
            <w:r w:rsidR="00920F37">
              <w:t xml:space="preserve"> ТКО </w:t>
            </w:r>
            <w:r w:rsidR="00920F37" w:rsidRPr="00920F37">
              <w:t>сохраня</w:t>
            </w:r>
            <w:r>
              <w:t>ю</w:t>
            </w:r>
            <w:r w:rsidR="00920F37" w:rsidRPr="00920F37">
              <w:t xml:space="preserve">тся </w:t>
            </w:r>
            <w:r w:rsidR="00920F37">
              <w:t>в пер</w:t>
            </w:r>
            <w:r w:rsidR="00920F37" w:rsidRPr="00920F37">
              <w:t>еходн</w:t>
            </w:r>
            <w:r w:rsidR="00920F37">
              <w:t>ый</w:t>
            </w:r>
            <w:r w:rsidR="00920F37" w:rsidRPr="00920F37">
              <w:t xml:space="preserve"> период до строительства и ввода в эксплуатацию правобережного и левобережного концессионных объектов</w:t>
            </w:r>
            <w:r w:rsidR="00920F37">
              <w:t>.</w:t>
            </w:r>
          </w:p>
          <w:p w:rsidR="00116DBC" w:rsidRDefault="00116DBC" w:rsidP="00860D70">
            <w:pPr>
              <w:spacing w:after="100" w:afterAutospacing="1"/>
              <w:contextualSpacing/>
              <w:jc w:val="both"/>
            </w:pPr>
            <w:r w:rsidRPr="00116DBC">
              <w:t>Транспортирование</w:t>
            </w:r>
            <w:r>
              <w:t xml:space="preserve"> ТКО </w:t>
            </w:r>
            <w:r w:rsidRPr="00116DBC">
              <w:t xml:space="preserve">в </w:t>
            </w:r>
            <w:r>
              <w:t xml:space="preserve">городских округах г. Новосибирск. г. Бердск. г. Обь, р.п. Кольцово осуществляется </w:t>
            </w:r>
            <w:r w:rsidRPr="00116DBC">
              <w:t>на ОРО, находящиеся вблизи г. Новосибирска: полигон «Гусинобродский», полигон «Левобережный», полигон вблизи г. Бердска»</w:t>
            </w:r>
            <w:r>
              <w:t xml:space="preserve"> в соответствии с </w:t>
            </w:r>
            <w:r w:rsidR="00860D70">
              <w:t xml:space="preserve">маршрутами, согласованными с </w:t>
            </w:r>
            <w:proofErr w:type="spellStart"/>
            <w:r w:rsidR="00860D70">
              <w:t>М</w:t>
            </w:r>
            <w:r>
              <w:t>ЖК</w:t>
            </w:r>
            <w:r w:rsidR="00860D70">
              <w:t>Х</w:t>
            </w:r>
            <w:r>
              <w:t>иЭ</w:t>
            </w:r>
            <w:proofErr w:type="spellEnd"/>
            <w:r>
              <w:t xml:space="preserve"> НСО.</w:t>
            </w:r>
          </w:p>
        </w:tc>
      </w:tr>
      <w:tr w:rsidR="00831E56" w:rsidRPr="00DB07C9" w:rsidTr="00831E56">
        <w:trPr>
          <w:trHeight w:val="130"/>
        </w:trPr>
        <w:tc>
          <w:tcPr>
            <w:tcW w:w="568" w:type="dxa"/>
          </w:tcPr>
          <w:p w:rsidR="00831E56" w:rsidRPr="00DB07C9" w:rsidRDefault="00831E56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 w:val="restart"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  <w:r w:rsidRPr="004207DE">
              <w:t>Департамент по</w:t>
            </w:r>
            <w:r>
              <w:t xml:space="preserve"> тарифам Новосибирской области</w:t>
            </w:r>
          </w:p>
        </w:tc>
        <w:tc>
          <w:tcPr>
            <w:tcW w:w="1665" w:type="dxa"/>
            <w:vMerge w:val="restart"/>
          </w:tcPr>
          <w:p w:rsidR="00831E56" w:rsidRDefault="00831E56" w:rsidP="004207DE">
            <w:pPr>
              <w:spacing w:after="100" w:afterAutospacing="1"/>
              <w:contextualSpacing/>
              <w:jc w:val="center"/>
            </w:pPr>
            <w:r>
              <w:t xml:space="preserve">№ 365-09/33-Вн от </w:t>
            </w:r>
            <w:r w:rsidR="000263C7">
              <w:t>03.03.</w:t>
            </w:r>
            <w:r>
              <w:t>2023</w:t>
            </w:r>
          </w:p>
        </w:tc>
        <w:tc>
          <w:tcPr>
            <w:tcW w:w="2071" w:type="dxa"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  <w:r>
              <w:t>Раздел 15</w:t>
            </w:r>
          </w:p>
        </w:tc>
        <w:tc>
          <w:tcPr>
            <w:tcW w:w="5620" w:type="dxa"/>
          </w:tcPr>
          <w:p w:rsidR="00831E56" w:rsidRDefault="00831E56" w:rsidP="004207DE">
            <w:pPr>
              <w:spacing w:after="100" w:afterAutospacing="1"/>
              <w:contextualSpacing/>
              <w:jc w:val="both"/>
            </w:pPr>
            <w:r>
              <w:t>Из раздела 15 проекта «Прогнозные значения предельных тарифов в области обращения с ТКО» необходимо исключить таблицу 15.1, содержащую сведения о предельных тарифах, для операторов, осуществляющих эксплуатацию объектов обработки и захоронения твердых коммунальных отходов.</w:t>
            </w:r>
          </w:p>
        </w:tc>
        <w:tc>
          <w:tcPr>
            <w:tcW w:w="3151" w:type="dxa"/>
          </w:tcPr>
          <w:p w:rsidR="00831E56" w:rsidRDefault="00831E56" w:rsidP="00B17D77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831E56" w:rsidRPr="00DB07C9" w:rsidTr="00831E56">
        <w:trPr>
          <w:trHeight w:val="130"/>
        </w:trPr>
        <w:tc>
          <w:tcPr>
            <w:tcW w:w="568" w:type="dxa"/>
          </w:tcPr>
          <w:p w:rsidR="00831E56" w:rsidRPr="00DB07C9" w:rsidRDefault="00831E56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  <w:r>
              <w:t>Раздел 15</w:t>
            </w:r>
          </w:p>
        </w:tc>
        <w:tc>
          <w:tcPr>
            <w:tcW w:w="5620" w:type="dxa"/>
          </w:tcPr>
          <w:p w:rsidR="00831E56" w:rsidRDefault="00831E56" w:rsidP="00836F00">
            <w:pPr>
              <w:spacing w:after="100" w:afterAutospacing="1"/>
              <w:contextualSpacing/>
              <w:jc w:val="both"/>
            </w:pPr>
            <w:r>
              <w:t xml:space="preserve">В соответствии с приказами </w:t>
            </w:r>
            <w:proofErr w:type="spellStart"/>
            <w:r>
              <w:t>МЖКХиЭ</w:t>
            </w:r>
            <w:proofErr w:type="spellEnd"/>
            <w:r>
              <w:t xml:space="preserve"> НСО от 10.02.2023 № 6-НПА, №7-НПА:</w:t>
            </w:r>
          </w:p>
          <w:p w:rsidR="00831E56" w:rsidRDefault="00831E56" w:rsidP="00836F00">
            <w:pPr>
              <w:spacing w:after="100" w:afterAutospacing="1"/>
              <w:contextualSpacing/>
              <w:jc w:val="both"/>
            </w:pPr>
            <w:r>
              <w:t>- ООО «Экология-Новосибирск» лишено статуса регионального оператора по обращению с твердыми коммунальными отходами на территории Новосибирской области с 11.02.2023;</w:t>
            </w:r>
          </w:p>
          <w:p w:rsidR="00831E56" w:rsidRDefault="00831E56" w:rsidP="00836F00">
            <w:pPr>
              <w:spacing w:after="100" w:afterAutospacing="1"/>
              <w:contextualSpacing/>
              <w:jc w:val="both"/>
            </w:pPr>
            <w:r>
              <w:t>- МУП г. Новосибирска «Спецавтохозяйство» присвоен статус регионального оператора по обращению с твердыми коммунальными отходами на территории Новосибирской области на 1 (один) год с 11.02.2023.</w:t>
            </w:r>
          </w:p>
          <w:p w:rsidR="00831E56" w:rsidRDefault="00831E56" w:rsidP="00836F00">
            <w:pPr>
              <w:spacing w:after="100" w:afterAutospacing="1"/>
              <w:contextualSpacing/>
              <w:jc w:val="both"/>
            </w:pPr>
            <w:r>
              <w:t xml:space="preserve">В соответствии с пунктом 89(1) Основ ценообразования в области обращения с твердыми коммунальными отходами, утвержденных Постановление Правительства Российской Федерации от 30.05.2016 № 484, в случае досрочного прекращения деятельности регионального оператора в отношении организации, получившей статус регионального оператора без проведения конкурсного отбора, до утверждения в установленном порядке тарифов применяются единые тарифы, установленные для регионального оператора, досрочно прекратившего деятельность. </w:t>
            </w:r>
          </w:p>
          <w:p w:rsidR="00831E56" w:rsidRDefault="00831E56" w:rsidP="00836F00">
            <w:pPr>
              <w:spacing w:after="100" w:afterAutospacing="1"/>
              <w:contextualSpacing/>
              <w:jc w:val="both"/>
            </w:pPr>
            <w:r>
              <w:t>Указанные обстоятельства необходимо отразить в проекте.</w:t>
            </w:r>
          </w:p>
        </w:tc>
        <w:tc>
          <w:tcPr>
            <w:tcW w:w="3151" w:type="dxa"/>
          </w:tcPr>
          <w:p w:rsidR="00831E56" w:rsidRDefault="00831E56" w:rsidP="00B17D77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831E56" w:rsidRPr="00DB07C9" w:rsidTr="00831E56">
        <w:trPr>
          <w:trHeight w:val="130"/>
        </w:trPr>
        <w:tc>
          <w:tcPr>
            <w:tcW w:w="568" w:type="dxa"/>
          </w:tcPr>
          <w:p w:rsidR="00831E56" w:rsidRPr="00DB07C9" w:rsidRDefault="00831E56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  <w:r>
              <w:t>Таблица 7.2</w:t>
            </w:r>
          </w:p>
        </w:tc>
        <w:tc>
          <w:tcPr>
            <w:tcW w:w="5620" w:type="dxa"/>
          </w:tcPr>
          <w:p w:rsidR="00831E56" w:rsidRDefault="00831E56" w:rsidP="005E64F5">
            <w:pPr>
              <w:spacing w:after="100" w:afterAutospacing="1"/>
              <w:contextualSpacing/>
              <w:jc w:val="both"/>
            </w:pPr>
            <w:r>
              <w:t>Суммарный объем и масса твердых коммунальных отходов, образуемых населением и прочими отходообразователями, по муниципальным районам и городским округам Новосибирской области, отраженные в таблице 7.2 проекта, не учитывают фактическое количество твердых коммунальных отходов, обращение с которыми осуществляло ООО «Экология-Новосибирск» с 2019 по 2022 год.</w:t>
            </w:r>
          </w:p>
        </w:tc>
        <w:tc>
          <w:tcPr>
            <w:tcW w:w="3151" w:type="dxa"/>
          </w:tcPr>
          <w:p w:rsidR="00534C54" w:rsidRDefault="008B5CED" w:rsidP="00B17D77">
            <w:pPr>
              <w:spacing w:after="100" w:afterAutospacing="1"/>
              <w:contextualSpacing/>
              <w:jc w:val="both"/>
            </w:pPr>
            <w:r>
              <w:t>У</w:t>
            </w:r>
            <w:r w:rsidR="00831E56">
              <w:t>ЧТЕНО</w:t>
            </w:r>
          </w:p>
        </w:tc>
      </w:tr>
      <w:tr w:rsidR="00831E56" w:rsidRPr="00DB07C9" w:rsidTr="00831E56">
        <w:trPr>
          <w:trHeight w:val="130"/>
        </w:trPr>
        <w:tc>
          <w:tcPr>
            <w:tcW w:w="568" w:type="dxa"/>
          </w:tcPr>
          <w:p w:rsidR="00831E56" w:rsidRPr="00DB07C9" w:rsidRDefault="00831E56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831E56" w:rsidRDefault="00831E56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831E56" w:rsidRDefault="0086460E" w:rsidP="0086460E">
            <w:pPr>
              <w:spacing w:after="100" w:afterAutospacing="1"/>
              <w:contextualSpacing/>
              <w:jc w:val="center"/>
            </w:pPr>
            <w:r w:rsidRPr="0086460E">
              <w:t>Приложение №</w:t>
            </w:r>
            <w:r>
              <w:t> 4.4</w:t>
            </w:r>
            <w:r w:rsidRPr="0086460E">
              <w:t xml:space="preserve"> к территориальной схеме</w:t>
            </w:r>
          </w:p>
        </w:tc>
        <w:tc>
          <w:tcPr>
            <w:tcW w:w="5620" w:type="dxa"/>
          </w:tcPr>
          <w:p w:rsidR="00831E56" w:rsidRDefault="00831E56" w:rsidP="005E64F5">
            <w:pPr>
              <w:spacing w:after="100" w:afterAutospacing="1"/>
              <w:contextualSpacing/>
              <w:jc w:val="both"/>
            </w:pPr>
            <w:r>
              <w:t>Пунктами 6 и 7 статьи 12 Федерального закона от 24.06.1998 № 89-ФЗ закреплено следующее:</w:t>
            </w:r>
          </w:p>
          <w:p w:rsidR="00831E56" w:rsidRDefault="00831E56" w:rsidP="005E64F5">
            <w:pPr>
              <w:spacing w:after="100" w:afterAutospacing="1"/>
              <w:contextualSpacing/>
              <w:jc w:val="both"/>
            </w:pPr>
            <w:r>
              <w:t>- объекты размещения отходов вносятся в государственный реестр объектов размещения отходов;</w:t>
            </w:r>
          </w:p>
          <w:p w:rsidR="00831E56" w:rsidRDefault="00831E56" w:rsidP="005E64F5">
            <w:pPr>
              <w:spacing w:after="100" w:afterAutospacing="1"/>
              <w:contextualSpacing/>
              <w:jc w:val="both"/>
            </w:pPr>
            <w:r>
              <w:t>- запрещается размещение отходов на объектах, не внесенных в государственный реестр объектов размещения отходов.</w:t>
            </w:r>
          </w:p>
          <w:p w:rsidR="00831E56" w:rsidRDefault="00831E56" w:rsidP="005E64F5">
            <w:pPr>
              <w:spacing w:after="100" w:afterAutospacing="1"/>
              <w:contextualSpacing/>
              <w:jc w:val="both"/>
            </w:pPr>
            <w:r>
              <w:t>Пунктом 8 статьи 29.1 Федерального закона от 24.06.1998 № 89-ФЗ (в ред. от 19.12.2022) установлено, что до 1 января 2026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коммунальных отходов. Указанные объекты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Федерации.</w:t>
            </w:r>
          </w:p>
          <w:p w:rsidR="00831E56" w:rsidRDefault="00831E56" w:rsidP="005E64F5">
            <w:pPr>
              <w:spacing w:after="100" w:afterAutospacing="1"/>
              <w:contextualSpacing/>
              <w:jc w:val="both"/>
            </w:pPr>
            <w:r>
              <w:t>Из приложения 4.4 проекта необходимо исключить сведения об объектах размещения твердых коммунальных отходов Новосибирской области, не включенных в ГРОРО и в перечень объектов размещения твердых коммунальных отходов на территории Новосибирской области.</w:t>
            </w:r>
          </w:p>
        </w:tc>
        <w:tc>
          <w:tcPr>
            <w:tcW w:w="3151" w:type="dxa"/>
          </w:tcPr>
          <w:p w:rsidR="00831E56" w:rsidRDefault="000263C7" w:rsidP="00197FBE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516E8A" w:rsidRDefault="00516E8A" w:rsidP="00516E8A">
            <w:pPr>
              <w:spacing w:after="100" w:afterAutospacing="1"/>
              <w:contextualSpacing/>
              <w:jc w:val="both"/>
            </w:pPr>
            <w:r w:rsidRPr="00516E8A">
              <w:t>В настоящее время проводится комплекс мероприятий по включению указанных объектов размещения отходов в Перечень объектов размещения ТКО на территории Новосибирской области.</w:t>
            </w:r>
          </w:p>
          <w:p w:rsidR="00516E8A" w:rsidRDefault="00516E8A" w:rsidP="00516E8A">
            <w:pPr>
              <w:spacing w:after="100" w:afterAutospacing="1"/>
              <w:contextualSpacing/>
              <w:jc w:val="both"/>
            </w:pPr>
            <w:r w:rsidRPr="00197FBE">
              <w:t>Эксплуатация объектов размещения отходов осуществляется до введения альтернативных объектов размещения отходов.</w:t>
            </w:r>
          </w:p>
        </w:tc>
      </w:tr>
      <w:tr w:rsidR="00831E56" w:rsidRPr="00DB07C9" w:rsidTr="00831E56">
        <w:trPr>
          <w:trHeight w:val="130"/>
        </w:trPr>
        <w:tc>
          <w:tcPr>
            <w:tcW w:w="568" w:type="dxa"/>
          </w:tcPr>
          <w:p w:rsidR="00831E56" w:rsidRPr="00DB07C9" w:rsidRDefault="00831E56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831E56" w:rsidRDefault="00CB2556" w:rsidP="008E51A9">
            <w:pPr>
              <w:spacing w:after="100" w:afterAutospacing="1"/>
              <w:contextualSpacing/>
              <w:jc w:val="center"/>
            </w:pPr>
            <w:r>
              <w:t xml:space="preserve">Администрация Куйбышевского района Новосибирской области </w:t>
            </w:r>
          </w:p>
        </w:tc>
        <w:tc>
          <w:tcPr>
            <w:tcW w:w="1665" w:type="dxa"/>
          </w:tcPr>
          <w:p w:rsidR="00CB2556" w:rsidRDefault="00CB2556" w:rsidP="00CB2556">
            <w:pPr>
              <w:spacing w:after="100" w:afterAutospacing="1"/>
              <w:contextualSpacing/>
              <w:jc w:val="center"/>
            </w:pPr>
            <w:r>
              <w:t>№ 02-14/1095</w:t>
            </w:r>
          </w:p>
          <w:p w:rsidR="00831E56" w:rsidRDefault="00CB2556" w:rsidP="00CB2556">
            <w:pPr>
              <w:spacing w:after="100" w:afterAutospacing="1"/>
              <w:contextualSpacing/>
              <w:jc w:val="center"/>
            </w:pPr>
            <w:r>
              <w:t>от 03.03.2023</w:t>
            </w:r>
          </w:p>
        </w:tc>
        <w:tc>
          <w:tcPr>
            <w:tcW w:w="2071" w:type="dxa"/>
          </w:tcPr>
          <w:p w:rsidR="00831E56" w:rsidRDefault="00CB2556" w:rsidP="008E51A9">
            <w:pPr>
              <w:spacing w:after="100" w:afterAutospacing="1"/>
              <w:contextualSpacing/>
              <w:jc w:val="center"/>
            </w:pPr>
            <w:r>
              <w:t>Таблица 13.1</w:t>
            </w:r>
          </w:p>
        </w:tc>
        <w:tc>
          <w:tcPr>
            <w:tcW w:w="5620" w:type="dxa"/>
          </w:tcPr>
          <w:p w:rsidR="00831E56" w:rsidRDefault="006F0E66" w:rsidP="006F0E66">
            <w:pPr>
              <w:spacing w:after="100" w:afterAutospacing="1"/>
              <w:contextualSpacing/>
              <w:jc w:val="both"/>
            </w:pPr>
            <w:r>
              <w:t>В проекте территориальной схемы обращения с отходами, в том числе с твёрдыми коммунальными отходами, предусмотрено строительство площадок временного накопления на территории с. Чумаково, с. Булатово, д. Бергуль. Данное решение принималось в связи с тем, что комплексный полигон планировался возле г. Барабинска. После смены полигона на полигон, расположенный возле г. Куйбышева предлагаем рассмотреть схему вывоза отходов на полигон, без учета площадок временного накопления.</w:t>
            </w:r>
          </w:p>
        </w:tc>
        <w:tc>
          <w:tcPr>
            <w:tcW w:w="3151" w:type="dxa"/>
          </w:tcPr>
          <w:p w:rsidR="00CB2556" w:rsidRPr="005A2471" w:rsidRDefault="00CB2556" w:rsidP="00CB2556">
            <w:pPr>
              <w:spacing w:after="100" w:afterAutospacing="1"/>
              <w:contextualSpacing/>
              <w:jc w:val="both"/>
            </w:pPr>
            <w:r w:rsidRPr="005A2471">
              <w:t xml:space="preserve">НЕ УЧТЕНО </w:t>
            </w:r>
          </w:p>
          <w:p w:rsidR="00B128FD" w:rsidRPr="005A2471" w:rsidRDefault="00CB2556" w:rsidP="00B128FD">
            <w:pPr>
              <w:spacing w:after="100" w:afterAutospacing="1"/>
              <w:contextualSpacing/>
              <w:jc w:val="both"/>
            </w:pPr>
            <w:r w:rsidRPr="005A2471">
              <w:t xml:space="preserve">В разделе 13.3. указано, что первоочередно планируется строительство 16 </w:t>
            </w:r>
            <w:r w:rsidR="006F0E66" w:rsidRPr="005A2471">
              <w:t>площадок временного накопления отходов</w:t>
            </w:r>
            <w:r w:rsidR="00B128FD" w:rsidRPr="005A2471">
              <w:t xml:space="preserve"> (далее – ПВН) </w:t>
            </w:r>
            <w:r w:rsidRPr="005A2471">
              <w:t>вблизи районных центров</w:t>
            </w:r>
            <w:r w:rsidR="005A2471" w:rsidRPr="005A2471">
              <w:t>, вблизи которых отсутствуют ОРО</w:t>
            </w:r>
            <w:r w:rsidRPr="005A2471">
              <w:t xml:space="preserve">. В дальнейшем будет рассмотрен вопрос целесообразности строительства большего количества </w:t>
            </w:r>
            <w:r w:rsidR="00B128FD" w:rsidRPr="005A2471">
              <w:t>ПВН</w:t>
            </w:r>
            <w:r w:rsidR="006F0E66" w:rsidRPr="005A2471">
              <w:t xml:space="preserve"> </w:t>
            </w:r>
            <w:r w:rsidRPr="005A2471">
              <w:t>(</w:t>
            </w:r>
            <w:r w:rsidR="005A2471" w:rsidRPr="005A2471">
              <w:t>Протокол от 24.11.2021 № 83-03/17-В</w:t>
            </w:r>
            <w:r w:rsidRPr="005A2471">
              <w:t xml:space="preserve"> комиссии по вопросам совершенствования системы обращения с отходами производства и потребления в Новосибирской области, утвержденной постановлением Правительства Новосибирской области от 13.07.2015 № 249-п).</w:t>
            </w:r>
          </w:p>
          <w:p w:rsidR="00197FBE" w:rsidRDefault="00B128FD" w:rsidP="005A2471">
            <w:pPr>
              <w:spacing w:after="100" w:afterAutospacing="1"/>
              <w:contextualSpacing/>
              <w:jc w:val="both"/>
            </w:pPr>
            <w:r w:rsidRPr="005A2471">
              <w:t>Таким образом, в ближайшее время строительство ПВН на территории Куйбышевского района Новосибирской области не предусмотрено.</w:t>
            </w:r>
          </w:p>
        </w:tc>
      </w:tr>
    </w:tbl>
    <w:p w:rsidR="00516E51" w:rsidRDefault="00516E51" w:rsidP="00320828">
      <w:pPr>
        <w:spacing w:after="100" w:afterAutospacing="1"/>
        <w:contextualSpacing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274A8C" w:rsidRDefault="00274A8C" w:rsidP="00310D0D">
      <w:pPr>
        <w:spacing w:after="100" w:afterAutospacing="1" w:line="240" w:lineRule="auto"/>
        <w:contextualSpacing/>
        <w:jc w:val="center"/>
      </w:pPr>
    </w:p>
    <w:p w:rsidR="00310D0D" w:rsidRDefault="00310D0D" w:rsidP="00310D0D">
      <w:pPr>
        <w:spacing w:after="100" w:afterAutospacing="1" w:line="240" w:lineRule="auto"/>
        <w:contextualSpacing/>
        <w:jc w:val="center"/>
      </w:pPr>
    </w:p>
    <w:p w:rsidR="00310D0D" w:rsidRPr="00DB07C9" w:rsidRDefault="00310D0D" w:rsidP="00310D0D">
      <w:pPr>
        <w:spacing w:after="100" w:afterAutospacing="1" w:line="240" w:lineRule="auto"/>
        <w:contextualSpacing/>
        <w:jc w:val="center"/>
      </w:pPr>
      <w:r>
        <w:t>З</w:t>
      </w:r>
      <w:r w:rsidRPr="00DB07C9">
        <w:t>амечани</w:t>
      </w:r>
      <w:r>
        <w:t>я</w:t>
      </w:r>
      <w:r w:rsidRPr="00DB07C9">
        <w:t xml:space="preserve"> и предложени</w:t>
      </w:r>
      <w:r>
        <w:t>я, поступившие</w:t>
      </w:r>
      <w:r w:rsidRPr="00DB07C9">
        <w:t xml:space="preserve"> </w:t>
      </w:r>
      <w:r>
        <w:t xml:space="preserve">после </w:t>
      </w:r>
      <w:r w:rsidR="00274A8C">
        <w:t xml:space="preserve">окончания </w:t>
      </w:r>
      <w:r>
        <w:t xml:space="preserve">срока приема замечаний и предложений </w:t>
      </w:r>
      <w:r w:rsidRPr="00DB07C9">
        <w:t xml:space="preserve">в рамках общественного обсуждения проекта территориальной схемы в области обращения с отходами, в том числе с твердыми коммунальными </w:t>
      </w:r>
      <w:r>
        <w:t>отходами, Новосибирской области</w:t>
      </w:r>
    </w:p>
    <w:p w:rsidR="00310D0D" w:rsidRPr="00DB07C9" w:rsidRDefault="00310D0D" w:rsidP="00310D0D">
      <w:pPr>
        <w:spacing w:after="100" w:afterAutospacing="1"/>
        <w:contextualSpacing/>
        <w:jc w:val="center"/>
      </w:pPr>
    </w:p>
    <w:tbl>
      <w:tblPr>
        <w:tblStyle w:val="a3"/>
        <w:tblW w:w="156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665"/>
        <w:gridCol w:w="2071"/>
        <w:gridCol w:w="5620"/>
        <w:gridCol w:w="3151"/>
      </w:tblGrid>
      <w:tr w:rsidR="00310D0D" w:rsidRPr="00DB07C9" w:rsidTr="004060EB">
        <w:trPr>
          <w:trHeight w:val="1652"/>
          <w:tblHeader/>
        </w:trPr>
        <w:tc>
          <w:tcPr>
            <w:tcW w:w="568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№ п/п</w:t>
            </w:r>
          </w:p>
        </w:tc>
        <w:tc>
          <w:tcPr>
            <w:tcW w:w="2551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Лицо (организация) направившее замечание (предложение) к проекту Постановления</w:t>
            </w:r>
          </w:p>
        </w:tc>
        <w:tc>
          <w:tcPr>
            <w:tcW w:w="1665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Реквизиты документа о направлении замечаний (предложений) к актуализации проекта территориальной схемы</w:t>
            </w:r>
          </w:p>
        </w:tc>
        <w:tc>
          <w:tcPr>
            <w:tcW w:w="2071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Раздел/таблица/</w:t>
            </w:r>
          </w:p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приложение проекта территориальной схемы</w:t>
            </w:r>
          </w:p>
        </w:tc>
        <w:tc>
          <w:tcPr>
            <w:tcW w:w="5620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Замечания и предложения</w:t>
            </w:r>
          </w:p>
        </w:tc>
        <w:tc>
          <w:tcPr>
            <w:tcW w:w="3151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Результат рассмотрения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1</w:t>
            </w:r>
          </w:p>
        </w:tc>
        <w:tc>
          <w:tcPr>
            <w:tcW w:w="2551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2</w:t>
            </w:r>
          </w:p>
        </w:tc>
        <w:tc>
          <w:tcPr>
            <w:tcW w:w="1665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3</w:t>
            </w:r>
          </w:p>
        </w:tc>
        <w:tc>
          <w:tcPr>
            <w:tcW w:w="2071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4</w:t>
            </w:r>
          </w:p>
        </w:tc>
        <w:tc>
          <w:tcPr>
            <w:tcW w:w="5620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5</w:t>
            </w:r>
          </w:p>
        </w:tc>
        <w:tc>
          <w:tcPr>
            <w:tcW w:w="3151" w:type="dxa"/>
          </w:tcPr>
          <w:p w:rsidR="00310D0D" w:rsidRPr="00DB07C9" w:rsidRDefault="00310D0D" w:rsidP="004060EB">
            <w:pPr>
              <w:spacing w:after="100" w:afterAutospacing="1"/>
              <w:contextualSpacing/>
              <w:jc w:val="center"/>
            </w:pPr>
            <w:r w:rsidRPr="00DB07C9">
              <w:t>6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Администрация Татарского района Новосибирской области</w:t>
            </w: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№ 649/92-Вн от 09.03.2023</w:t>
            </w: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 w:rsidRPr="006C0BBD">
              <w:t>Внести изменение в наименование создаваемого объекта размещения отходов в соответствии с перспективной комбинированной схемой  потоков твердых коммунальных отходов от источников образования до объектов обработки и размещения твердых коммунальных отходов (далее – Объект) с «Межрайонного комплекса - полигона с мусоросортировочной линией, город Татарск Татарского района  Новосибирской  области» на «Межрайонный комплекс - полигон с мусоросортировочной линией за границей населенного пункта города Татарска Татарского района Новосибирской области».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 xml:space="preserve">В проекте территориальной схемы отсутствует наименование объекта обработки, обезвреживания и размещения твердых коммунальных отходов в Татарском районе Новосибирской области. Местоположение объекта указано ориентировочна: </w:t>
            </w:r>
            <w:r w:rsidRPr="006C0BBD">
              <w:t>Татарский район, Новопокровский сельсовет</w:t>
            </w:r>
            <w:r>
              <w:t>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 w:val="restart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 w:rsidRPr="009B7A68">
              <w:t>Федеральная служба по надзору в сфере природопользования</w:t>
            </w:r>
            <w:r>
              <w:t xml:space="preserve"> (Росприроднадзор)</w:t>
            </w:r>
          </w:p>
        </w:tc>
        <w:tc>
          <w:tcPr>
            <w:tcW w:w="1665" w:type="dxa"/>
            <w:vMerge w:val="restart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№ ТК-10-02-27/6518 от 06.03.2023</w:t>
            </w: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 xml:space="preserve">Раздел 7.2, </w:t>
            </w:r>
          </w:p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8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И</w:t>
            </w:r>
            <w:r w:rsidRPr="009B7A68">
              <w:t>нформация о количестве образованных ТКО, указанная в разделах «Количество образующихся отходов», «Баланс количественных характеристик образования, обработки, утилизации, обезвреживания, размещения отходов» проекта территориальной схемы не соответствует данным об отходах производства и потребления, в том числе ТКО, представленным в статистической отчетности по форме № 2-ТП (отходы) за 2021 год. Официальная статистическая информация об образовании, обработке, утилизации, обезвреживании, размещении отходов производства и потребления по форме государственного статистического наблюдения № 2-ТП (отходы) за 2021 год размещена на официальном сайте Росприроднадзора в разделе «Открытая служба»/«Аналитические данны</w:t>
            </w:r>
            <w:r>
              <w:t>е»/ «Статистическая отчетность»;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 xml:space="preserve">НЕ УЧТЕНО </w:t>
            </w:r>
          </w:p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 xml:space="preserve">Указанные в проекте территориальной схемы данные предоставлены письмом   Росприроднадзора № ТК-10-02-27/18276 от 08.06.2022. 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8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Р</w:t>
            </w:r>
            <w:r w:rsidRPr="0017211B">
              <w:t>аздел «Целевые показатели по обезвреживанию, утилизации и размещению отходов» проекта территориальной схемы не содержит информации о доле обезвреженных ТКО в общем количестве образованных ТКО (процентов), что является на</w:t>
            </w:r>
            <w:r>
              <w:t>рушением пункта 8 Правил № 1130;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10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 xml:space="preserve">В </w:t>
            </w:r>
            <w:r w:rsidRPr="007708BD">
              <w:t>разделе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указана информация о том, что на территории Новосибирской области в ГРОРО включено 36 ОРО, из которых 12 ОРО ТКО, при этом по состоянию на 02.03.2023 в ГРОРО включено 37 ОРО, из которых 15 ОРО ТКО (12 ОРО ТКО принимают ТКО от населения);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4.3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таблице 14.3 раздела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для ОРО ТКО, включенных в ГРОРО под №№ 54-00028-З-00066-270218, 5400026-З-00518-311017, 54-00042-З-01106-040920, 54-00044-З-00602-291222, указаны наименования ОРО ТКО, не соответствующие сведениям, на основании которых ОРО ТКО включены (внесены изменения) в ГРОРО. Кроме того, в указанной таблице для ОРО ТКО, включенных в ГРОРО под №№ 54-00027-З00550-171117, 54-00031-З-00136-250418, неверно указаны реквизиты приказов Росприроднадзора о включении ОРО в ГРОРО;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4.3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</w:t>
            </w:r>
            <w:r w:rsidRPr="00135655">
              <w:t xml:space="preserve"> таблице 18 раздела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для ОРО, включенного в ГРОРО под № 54-00031-З-00136-250418, неверно указаны реквизиты заключения государственной экологической экспертизы. Согласно информации, представленной Сибирским межрегиональным управлением Росприроднадзора, на проектную документацию на строительство указанного ОРО получено положительное заключение экспертной комиссии государственной экологической экспертизы № 115, утвержденное приказом Департамента Росприроднадзора по Сибирскому федеральному округу от 14.05.2015 № 055;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4.5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</w:t>
            </w:r>
            <w:r w:rsidRPr="005A0AE7">
              <w:t xml:space="preserve"> таблице 14.5 раздела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представлена информация об ОРО, включенном в ГРОРО под № 54-00030-З00136-250418, при этом приказом </w:t>
            </w:r>
            <w:r>
              <w:t xml:space="preserve">Росприроднадзора от 10.03.2022 </w:t>
            </w:r>
            <w:r w:rsidRPr="002D10B6">
              <w:t>№ 150 указанный ОРО исключен из ГРОРО;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4.5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</w:t>
            </w:r>
            <w:r w:rsidRPr="00963AC5">
              <w:t xml:space="preserve"> таблице 14.5 раздела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для ОРО ТКО, включенных в ГРОРО под №№ 54-00001-З-00479-010814, 5400020-З-00793-151216, 54-00012-Х-00164-270215, 54-00013-Х-00552-070715, 54-00028-З-00006-090118, 54-00021-Х-00170-030417, 54-00037-Х-00398-021018, 54-00023-Х-00255-240517, 54-00035-З-00294-020818, 54-00036-З-00294-020818, 54-00024-Х-00255-240517, 54-00025-Х-00255-240517, 54-00041-З-00499-060520, 5400038-Х-00565-291218, 54-00039-Х-00565-291218, 54-00040-Х-00565-291218 указаны наименования ОРО ТКО, не соответствующие сведениям, на основании которых ОРО ТКО включены (внесены изменения) в ГРОРО;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4.5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</w:t>
            </w:r>
            <w:r w:rsidRPr="0082504E">
              <w:t xml:space="preserve"> таблице 14.5 раздела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для ОРО, включенных в ГРОРО под №№ 54-00023-Х-00255-240517, 5400035-З-00294-020818, 54-00036-З-00294-020818, 54-00024-Х-00255-240517, 5400025-Х-00255-240517, 54-00041-З-00499-060520 и 54-00002-З-00479-010814, неверно указаны наименования организаций, эксплуатирующих указанные ОРО;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4.5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</w:t>
            </w:r>
            <w:r w:rsidRPr="007C097D">
              <w:t xml:space="preserve"> таблице 14.5 раздела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для ОРО, включенных в ГРОРО под №№ 54-00020-З-00793-151216, 5400006-Х-00592-250914, 54-00014-Х-00552-070715, 54-00025-Х-00255-240517, указаны виды размещаемых отходов, не соответствующие сведениям, на основании которых ОРО ТКО включены (внесены изменения) в ГРОРО;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4, 4.1, 4.2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</w:t>
            </w:r>
            <w:r w:rsidRPr="007C097D">
              <w:t xml:space="preserve"> разделе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по ряду объектов обработки, утилизации и обезвреживания отходов указаны адреса расположения, отличные от указанных в лицензиях на осуществление деятельности по сбору, транспортированию, обработке, утилизации, обезвреживанию, размещению отходов I - IV классов; таблицу с расхождениями прилагаем;</w:t>
            </w:r>
          </w:p>
        </w:tc>
        <w:tc>
          <w:tcPr>
            <w:tcW w:w="3151" w:type="dxa"/>
          </w:tcPr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 xml:space="preserve">Раздел 12.5, </w:t>
            </w:r>
          </w:p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13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3" w:line="248" w:lineRule="auto"/>
              <w:jc w:val="both"/>
            </w:pPr>
            <w:r>
              <w:t>Р</w:t>
            </w:r>
            <w:r w:rsidRPr="00525898">
              <w:t>азделы «Схема потоков отходов от источников их образования 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и «Данные о планируемых строительстве, реконструкции, выведении из эксплуатации объектов обработки, утилизации, обезвреживания, размещения отходов» проекта территориальной схемы содержат информацию о площадках временного накопления, при этом Федеральным законом от 24.06.1998 № 89-ФЗ «Об отходах производства и потребления» термин и требования к площадкам временного накопления не установлены. Кроме того, в проекте территориальной схемы отсутствует информация об ограничении сроков для накопления ТКО на местах (площадках) накопления ТКО и вывозе ТКО с указанных площадок, в том числе на ОРО, соответствующий законодательству, с отражением соответствующей инфо</w:t>
            </w:r>
            <w:r>
              <w:t>рмации в схеме потоков отходов.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разделе 13.1 указано, что в</w:t>
            </w:r>
            <w:r w:rsidRPr="007C097D">
              <w:t xml:space="preserve">ывоз отходов </w:t>
            </w:r>
            <w:r>
              <w:t xml:space="preserve">с площадок временного накопления отходов </w:t>
            </w:r>
            <w:r w:rsidRPr="007C097D">
              <w:t>происходит по мере накопления, но не реже одного раза в 11 месяцев.</w:t>
            </w:r>
          </w:p>
          <w:p w:rsidR="00310D0D" w:rsidRPr="00F81C3A" w:rsidRDefault="00310D0D" w:rsidP="004060EB">
            <w:pPr>
              <w:spacing w:after="100" w:afterAutospacing="1"/>
              <w:contextualSpacing/>
              <w:jc w:val="both"/>
            </w:pPr>
            <w:r>
              <w:t>В разделе 12.5 отражены схемы потоков отходов с указанных площадок на ОРО.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  <w:vMerge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  <w:vMerge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</w:t>
            </w:r>
            <w:r w:rsidRPr="00464731">
              <w:t xml:space="preserve"> связи с поручением Заместителя Председателя Правительства Российской Федерации А.В. Гордеева от 24.01.2019 № АГ-П9-431, в территориальные схемы обращения с отходами, в том числе с ТКО, также необходимо включать информацию по объектам утилизации, обезвреживания и размещения отходов животноводства.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Pr="005A2471" w:rsidRDefault="00310D0D" w:rsidP="004060EB">
            <w:pPr>
              <w:spacing w:after="100" w:afterAutospacing="1"/>
              <w:contextualSpacing/>
              <w:jc w:val="both"/>
            </w:pPr>
            <w:r>
              <w:t>Не предусмотрено постановлением Правительства РФ от 22.09.2018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  <w:r>
              <w:t>Криводановский сельсовет Новосибирского района Новосибирской области</w:t>
            </w: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№ 142/88.007-Исх от 10.03.2023</w:t>
            </w: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2, 2.1, 2.2, 2.6, 2.7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Внести изменения в проект территориальной схемы в части нахождения</w:t>
            </w:r>
            <w:r w:rsidRPr="00FC04FC">
              <w:t xml:space="preserve"> источников образования отходов</w:t>
            </w:r>
            <w:r>
              <w:t xml:space="preserve">, расположенных на территории </w:t>
            </w:r>
            <w:proofErr w:type="spellStart"/>
            <w:r>
              <w:t>Криводановского</w:t>
            </w:r>
            <w:proofErr w:type="spellEnd"/>
            <w:r>
              <w:t xml:space="preserve"> сельсовета Новосибирского района Новосибирской области.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  <w:r>
              <w:t>П</w:t>
            </w:r>
            <w:r w:rsidRPr="006A6827">
              <w:t>ублично-правов</w:t>
            </w:r>
            <w:r>
              <w:t>ая компания</w:t>
            </w:r>
            <w:r w:rsidRPr="006A6827">
              <w:t xml:space="preserve"> «Российский экологический оператор»</w:t>
            </w: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№ Исх-1425/23 от 10.03.2023</w:t>
            </w: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6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Отсутствует графическое отоб</w:t>
            </w:r>
            <w:r w:rsidRPr="00994BD9">
              <w:t>ражение источников образования на карте Новосибирской области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Данные о нахождении источников образования отходов на территории Новосибирской области отражены в электронной модели территориальной схемы.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8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 w:rsidRPr="00994BD9">
              <w:t>Отсутствует информация о до</w:t>
            </w:r>
            <w:r>
              <w:t>ле обезвреженных и утилизирован</w:t>
            </w:r>
            <w:r w:rsidRPr="00994BD9">
              <w:t xml:space="preserve">ных отходов в общем количестве </w:t>
            </w:r>
            <w:r>
              <w:t>образованных отходов I - V клас</w:t>
            </w:r>
            <w:r w:rsidRPr="00994BD9">
              <w:t>сов опасности (процентов); о доле обезвреженных ТКО в общем количестве образованных ТКО (процентов)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 w:rsidRPr="009B4771"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9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 w:rsidRPr="00994BD9">
              <w:t>Отсутствует графическое отображение мест накопления отходов на карте Новосибирской области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Места накопления отходов отражены на карте в электронной модели территориальной схемы.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10</w:t>
            </w:r>
          </w:p>
        </w:tc>
        <w:tc>
          <w:tcPr>
            <w:tcW w:w="5620" w:type="dxa"/>
          </w:tcPr>
          <w:p w:rsidR="00310D0D" w:rsidRPr="00994BD9" w:rsidRDefault="00310D0D" w:rsidP="004060EB">
            <w:pPr>
              <w:spacing w:after="100" w:afterAutospacing="1"/>
              <w:contextualSpacing/>
              <w:jc w:val="both"/>
            </w:pPr>
            <w:r>
              <w:t>Отсутствуют данные о производ</w:t>
            </w:r>
            <w:r w:rsidRPr="00994BD9">
              <w:t>ственной мощности объектов размещения ТКО (тонн/единиц в год, суммарно по видам отходов), а также графическое отображение объектов обработки, утилизации, обезвреживания и размещения отходов на карте Новосибирской области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Производственная мощность объектов размещения ТКО (тонн в год) отражена в столбце 11 приложения 4.3 и столбце 9 приложения 4.4. проекта территориальной схемы.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О</w:t>
            </w:r>
            <w:r w:rsidRPr="0046144E">
              <w:t>бъект</w:t>
            </w:r>
            <w:r>
              <w:t>ы</w:t>
            </w:r>
            <w:r w:rsidRPr="0046144E">
              <w:t xml:space="preserve"> обработки, утилизации, обезвреживания и размещения отходов </w:t>
            </w:r>
            <w:r>
              <w:t xml:space="preserve">отражены </w:t>
            </w:r>
            <w:r w:rsidRPr="0046144E">
              <w:t xml:space="preserve">на карте Новосибирской области </w:t>
            </w:r>
            <w:r>
              <w:t>электронной модели территориальной схемы.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 xml:space="preserve">Раздел 9, </w:t>
            </w:r>
          </w:p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15</w:t>
            </w:r>
          </w:p>
        </w:tc>
        <w:tc>
          <w:tcPr>
            <w:tcW w:w="5620" w:type="dxa"/>
          </w:tcPr>
          <w:p w:rsidR="00310D0D" w:rsidRPr="00994BD9" w:rsidRDefault="00310D0D" w:rsidP="004060EB">
            <w:pPr>
              <w:spacing w:after="100" w:afterAutospacing="1"/>
              <w:contextualSpacing/>
              <w:jc w:val="both"/>
            </w:pPr>
            <w:r>
              <w:t>В проекте территориальной схеме не указана информация о приобретении региональными операторами контейнеров и бункеров, также расходы на эти цели не учтены в прогнозных значениях предельных тарифов в области обращения с ТКО, из чего можно сделать вывод, что закупка контейнеров и бункеров региональными операторами не планируется. С учетом положений пунктов 9 и 16 постановления № 1130 необходимо отразить эту информацию в соответствующих разделах.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УЧТЕНО ЧАСТИЧНО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Данная информация размещена в разделе 9 и будет добавлена в раздел 15 «</w:t>
            </w:r>
            <w:r w:rsidRPr="00912923">
              <w:t>Прогнозные значения предельных тарифов в области обращения с ТКО</w:t>
            </w:r>
            <w:r>
              <w:t>».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Проект территориальной схемы не содержит информации об обращении с отходами, не относящимися к ТКО, в том числе с медицинскими и биологическими отходами, отходами строительства и ремонта, обработки сточных вод и использования воды и другими видами отходов.</w:t>
            </w:r>
          </w:p>
          <w:p w:rsidR="00310D0D" w:rsidRPr="00994BD9" w:rsidRDefault="00310D0D" w:rsidP="004060EB">
            <w:pPr>
              <w:spacing w:after="100" w:afterAutospacing="1"/>
              <w:contextualSpacing/>
              <w:jc w:val="both"/>
            </w:pPr>
            <w:r>
              <w:t>Правительством Российской Федерации утверждены отраслевые программы по применению вторичных ресурсов и вторичного сырья из отходов в промышленном производстве, сельском хозяйстве, строительстве и жилищно-коммунальном хозяйстве, в связи с чем рекомендуем проработать вопрос реализации этих программ в субъекте Российской Федерации, отразив соответствующие мероприятия в территориальной схеме.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соответствии с разъяснениями Росприроднадзора (письмо ТК-10-02-31/45638 от 23.12.2022) в территориальных схемах не предусмотрено содержание информации о медицинских отходах, поскольку пунктом 2 статьи 2 Федерального закона № 89-ФЗ определено, что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Федерации, таким образом наличие информации о медицинских отходах в территориальных схемах субъектов Российской Федерации не установлено.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Электронная модель территориальной схемы размещена по адресу: https://tko.nso.ru и содержит сведения, предусмотренные Правилами. Вместе с этим, отмечаем необходимость уточнения данных о действующих объектах размещения ТКО и отображения перспективных объектов обращения с ТКО.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проекте территориальной схемы масса образования ТКО определена расчетным способом на основании действующих нормативов накопления ТКО.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Нормативы накопления ТКО на территории Новосибирской области, утвержденные Приказом департамента по тарифам Новосибирской области от 20.10.2017 № 342-ЖКХ «Об утверждении нормативов накопления твердых коммунальных отходов на территории Новосибирской области», определены для многоквартирных и индивидуальных жилых домов на 1 проживающего 392,95 кг/год.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части нормативов накопления ТКО отмечаем, что их значения имеют существенные расхождения с расчетными величинами, определенными ППК «РЭО» на основе сравнительного анализа нормативов накопления ТКО в субъектах Российской Федерации.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связи с изложенным отмечаем необходимость уточнения нормативов накопления ТКО и корректировки массы образования ТКО.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Проведение замеров с целью уточнения нормативов накопления ТКО не предусмотрено постановлением Правительства РФ от 22.09.2018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Приложение 4.3, раздел 10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части действующих объектов обращения с ТКО отмечаем следующее.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Согласно Приложению 4.3 проекта территориальной схемы на территории региона функционируют 13 объектов размещения ТКО, включенных в ГРОРО, производственные мощности которых отсутствуют. Вместе с тем Раздел 10 проекта территориальной схемы содержит информацию о 12 объектах, на которых размещаются ТКО. Отмечаем необходимость приведения данных о действующих объектах размещения ТКО к единому сценарию.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УЧТЕНО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  <w:r>
              <w:t>Раздел 12.5</w:t>
            </w: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схеме потоков отходов присутствуют 5 объектов размещения ТКО, которые не внесены в ГРОРО и не включены в перечень объектов размещения ТКО на территории Новосибирской области, формируемый в соответствии со ст. 29.1 Закона № 89-ФЗ.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Обращаем внимание, что эксплуатация указанных объектов нарушает требования действующего законодательства Российской Федерации.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 w:rsidRPr="00516E8A">
              <w:t>В настоящее время проводится комплекс мероприятий по включению указанных объектов размещения отходов в Перечень объектов размещения ТКО на территории Новосибирской области.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 w:rsidRPr="00197FBE">
              <w:t>Эксплуатация объектов размещения отходов осуществляется до введения альтернативных объектов размещения отходов.</w:t>
            </w:r>
          </w:p>
        </w:tc>
      </w:tr>
      <w:tr w:rsidR="00310D0D" w:rsidRPr="00DB07C9" w:rsidTr="004060EB">
        <w:trPr>
          <w:trHeight w:val="130"/>
        </w:trPr>
        <w:tc>
          <w:tcPr>
            <w:tcW w:w="568" w:type="dxa"/>
          </w:tcPr>
          <w:p w:rsidR="00310D0D" w:rsidRPr="00DB07C9" w:rsidRDefault="00310D0D" w:rsidP="00FD76E7">
            <w:pPr>
              <w:pStyle w:val="a4"/>
              <w:numPr>
                <w:ilvl w:val="0"/>
                <w:numId w:val="5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551" w:type="dxa"/>
          </w:tcPr>
          <w:p w:rsidR="00310D0D" w:rsidRPr="009B7A68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1665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310D0D" w:rsidRDefault="00310D0D" w:rsidP="004060EB">
            <w:pPr>
              <w:spacing w:after="100" w:afterAutospacing="1"/>
              <w:contextualSpacing/>
              <w:jc w:val="center"/>
            </w:pPr>
          </w:p>
        </w:tc>
        <w:tc>
          <w:tcPr>
            <w:tcW w:w="5620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В части перспективных объектов по обращению с ТКО отмечаем следующее.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 xml:space="preserve">Согласно </w:t>
            </w:r>
            <w:proofErr w:type="gramStart"/>
            <w:r>
              <w:t>проекту территориальной схемы</w:t>
            </w:r>
            <w:proofErr w:type="gramEnd"/>
            <w:r>
              <w:t xml:space="preserve"> в срок до 2027 года на территории региона планируется ввод в эксплуатацию 40 объектов по обращению с ТКО: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- 17 объектов обработки ТКО суммарной мощностью 1092 тыс. тонн/год;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- 2 объектов утилизации ТКО суммарной мощностью 94,5 тыс. тонн/год;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- 5 объектов обезвреживания/утилизации ТКО суммарной мощностью 212 тыс. тонн/год;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- 1 объекта обезвреживания ТКО мощностью 3 тыс. тонн/год;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- 15 объектов размещения ТКО суммарной мощностью 459 тыс. тонн/год.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Перспективные мероприятия по строительству объектов по обращению с ТКО, включенные в утвержденную распоряжением Министерства природных ресурсов и экологии Российской Федерации от 28.12.2022 № 39-р часть федеральной схемы обращения с ТКО (далее – федеральная схема), не в полной мере соответствуют аналогичным перспективным мероприятиям, запланированным проектом территориальной схемы.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 xml:space="preserve">Обращаем внимание на необходимость обоснования изменения параметров перспективных объектов по сравнению с параметрами, закрепленными по согласованию с Новосибирской областью в федеральной схеме. </w:t>
            </w:r>
          </w:p>
          <w:p w:rsidR="00310D0D" w:rsidRPr="008B5CED" w:rsidRDefault="00310D0D" w:rsidP="004060EB">
            <w:pPr>
              <w:spacing w:after="100" w:afterAutospacing="1"/>
              <w:contextualSpacing/>
              <w:jc w:val="both"/>
            </w:pPr>
            <w:r>
              <w:t>Кроме того, отмечаем необходимость реализации инвестиционных проектов в сроки, установленные дорожной картой, согласованной с ППК «РЭО» 07.02.2022 (далее – ДК). Так, согласно ДК, ввод в эксплуатацию запланированных объектов обращения с ТКО должен быть осуществлен не позднее 2025 года. Однако в проекте территориальной схемы ввод таких объектов в эксплуатацию запланирован на 2025-2026 гг.</w:t>
            </w:r>
          </w:p>
        </w:tc>
        <w:tc>
          <w:tcPr>
            <w:tcW w:w="3151" w:type="dxa"/>
          </w:tcPr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>НЕ УЧТЕНО</w:t>
            </w:r>
          </w:p>
          <w:p w:rsidR="00310D0D" w:rsidRDefault="00310D0D" w:rsidP="004060EB">
            <w:pPr>
              <w:spacing w:after="100" w:afterAutospacing="1"/>
              <w:contextualSpacing/>
              <w:jc w:val="both"/>
            </w:pPr>
            <w:r>
              <w:t xml:space="preserve">В настоящее время в дорожную карту внесены изменения в отношении сроков реализации </w:t>
            </w:r>
            <w:r w:rsidRPr="00771690">
              <w:t>инвестиционных проектов</w:t>
            </w:r>
            <w:r>
              <w:t xml:space="preserve"> в учетом сроков конкурсных процедур.</w:t>
            </w:r>
          </w:p>
        </w:tc>
      </w:tr>
    </w:tbl>
    <w:p w:rsidR="002E36B5" w:rsidRPr="00DB07C9" w:rsidRDefault="002E36B5" w:rsidP="00320828">
      <w:pPr>
        <w:spacing w:after="100" w:afterAutospacing="1"/>
        <w:contextualSpacing/>
      </w:pPr>
    </w:p>
    <w:sectPr w:rsidR="002E36B5" w:rsidRPr="00DB07C9" w:rsidSect="00274A8C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4CF"/>
    <w:multiLevelType w:val="hybridMultilevel"/>
    <w:tmpl w:val="66BEFBB6"/>
    <w:lvl w:ilvl="0" w:tplc="D5A0159C">
      <w:start w:val="1"/>
      <w:numFmt w:val="decimal"/>
      <w:lvlText w:val="%1)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38C2157"/>
    <w:multiLevelType w:val="hybridMultilevel"/>
    <w:tmpl w:val="7FF45C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B22"/>
    <w:multiLevelType w:val="hybridMultilevel"/>
    <w:tmpl w:val="FDDEC5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495"/>
    <w:multiLevelType w:val="hybridMultilevel"/>
    <w:tmpl w:val="EB388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079C"/>
    <w:multiLevelType w:val="hybridMultilevel"/>
    <w:tmpl w:val="005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8"/>
    <w:rsid w:val="000248BE"/>
    <w:rsid w:val="000263C7"/>
    <w:rsid w:val="0002666D"/>
    <w:rsid w:val="000317DA"/>
    <w:rsid w:val="00036C96"/>
    <w:rsid w:val="0004722B"/>
    <w:rsid w:val="00051BA6"/>
    <w:rsid w:val="00080037"/>
    <w:rsid w:val="00081B08"/>
    <w:rsid w:val="000976A7"/>
    <w:rsid w:val="000A17D6"/>
    <w:rsid w:val="000B507E"/>
    <w:rsid w:val="000C03D2"/>
    <w:rsid w:val="000C48E7"/>
    <w:rsid w:val="000D0C37"/>
    <w:rsid w:val="000E002B"/>
    <w:rsid w:val="000E4065"/>
    <w:rsid w:val="000E7E14"/>
    <w:rsid w:val="000F5899"/>
    <w:rsid w:val="00106618"/>
    <w:rsid w:val="00116DBC"/>
    <w:rsid w:val="00125F93"/>
    <w:rsid w:val="00135655"/>
    <w:rsid w:val="00137187"/>
    <w:rsid w:val="00142F72"/>
    <w:rsid w:val="001461DB"/>
    <w:rsid w:val="001507E2"/>
    <w:rsid w:val="00160760"/>
    <w:rsid w:val="001661C9"/>
    <w:rsid w:val="0017211B"/>
    <w:rsid w:val="001755E7"/>
    <w:rsid w:val="001830EB"/>
    <w:rsid w:val="00184DAB"/>
    <w:rsid w:val="001900C1"/>
    <w:rsid w:val="001926D9"/>
    <w:rsid w:val="00196FFD"/>
    <w:rsid w:val="001977BD"/>
    <w:rsid w:val="00197FBE"/>
    <w:rsid w:val="001A22F5"/>
    <w:rsid w:val="001A3523"/>
    <w:rsid w:val="001A371F"/>
    <w:rsid w:val="001C4160"/>
    <w:rsid w:val="001D7DED"/>
    <w:rsid w:val="001E1957"/>
    <w:rsid w:val="001F0722"/>
    <w:rsid w:val="00203C11"/>
    <w:rsid w:val="00213D1C"/>
    <w:rsid w:val="00216244"/>
    <w:rsid w:val="0022272C"/>
    <w:rsid w:val="0023258B"/>
    <w:rsid w:val="0023521C"/>
    <w:rsid w:val="0023742E"/>
    <w:rsid w:val="00241CF4"/>
    <w:rsid w:val="00250727"/>
    <w:rsid w:val="0025135D"/>
    <w:rsid w:val="00262F20"/>
    <w:rsid w:val="00273820"/>
    <w:rsid w:val="00274A8C"/>
    <w:rsid w:val="00286443"/>
    <w:rsid w:val="002A09DC"/>
    <w:rsid w:val="002A67A2"/>
    <w:rsid w:val="002B36B0"/>
    <w:rsid w:val="002C321C"/>
    <w:rsid w:val="002C600D"/>
    <w:rsid w:val="002C6AEA"/>
    <w:rsid w:val="002D10B6"/>
    <w:rsid w:val="002D138E"/>
    <w:rsid w:val="002D16AE"/>
    <w:rsid w:val="002E36B5"/>
    <w:rsid w:val="002E4665"/>
    <w:rsid w:val="002E4714"/>
    <w:rsid w:val="002E7A5A"/>
    <w:rsid w:val="002E7F63"/>
    <w:rsid w:val="0030629F"/>
    <w:rsid w:val="00310D0D"/>
    <w:rsid w:val="00313CEE"/>
    <w:rsid w:val="00317E2F"/>
    <w:rsid w:val="00320828"/>
    <w:rsid w:val="00323E6B"/>
    <w:rsid w:val="00330077"/>
    <w:rsid w:val="00330473"/>
    <w:rsid w:val="00330D78"/>
    <w:rsid w:val="003318B8"/>
    <w:rsid w:val="00342720"/>
    <w:rsid w:val="00346117"/>
    <w:rsid w:val="003502ED"/>
    <w:rsid w:val="0035246C"/>
    <w:rsid w:val="003541DF"/>
    <w:rsid w:val="00361D7E"/>
    <w:rsid w:val="00373086"/>
    <w:rsid w:val="0037534F"/>
    <w:rsid w:val="003778B0"/>
    <w:rsid w:val="00384E57"/>
    <w:rsid w:val="003858C9"/>
    <w:rsid w:val="003B3871"/>
    <w:rsid w:val="003D384B"/>
    <w:rsid w:val="003E0B70"/>
    <w:rsid w:val="003E17DD"/>
    <w:rsid w:val="00402EE4"/>
    <w:rsid w:val="0041246D"/>
    <w:rsid w:val="004207DE"/>
    <w:rsid w:val="00423026"/>
    <w:rsid w:val="004269C9"/>
    <w:rsid w:val="0042761E"/>
    <w:rsid w:val="004324B1"/>
    <w:rsid w:val="0046144E"/>
    <w:rsid w:val="00462659"/>
    <w:rsid w:val="00464731"/>
    <w:rsid w:val="00475FF5"/>
    <w:rsid w:val="0048010D"/>
    <w:rsid w:val="00485E00"/>
    <w:rsid w:val="004A1CD3"/>
    <w:rsid w:val="004A4D3A"/>
    <w:rsid w:val="004B02D1"/>
    <w:rsid w:val="004B4B4E"/>
    <w:rsid w:val="004B667F"/>
    <w:rsid w:val="004C299C"/>
    <w:rsid w:val="004C2E9E"/>
    <w:rsid w:val="004D4F48"/>
    <w:rsid w:val="004E0AFE"/>
    <w:rsid w:val="004E1BF4"/>
    <w:rsid w:val="004F2E81"/>
    <w:rsid w:val="004F307A"/>
    <w:rsid w:val="004F6F53"/>
    <w:rsid w:val="00516E51"/>
    <w:rsid w:val="00516E8A"/>
    <w:rsid w:val="0052313B"/>
    <w:rsid w:val="005247D2"/>
    <w:rsid w:val="00534C54"/>
    <w:rsid w:val="005512F4"/>
    <w:rsid w:val="005947DB"/>
    <w:rsid w:val="005A0AE7"/>
    <w:rsid w:val="005A2471"/>
    <w:rsid w:val="005B4994"/>
    <w:rsid w:val="005B58A5"/>
    <w:rsid w:val="005D1A79"/>
    <w:rsid w:val="005E28F9"/>
    <w:rsid w:val="005E39C1"/>
    <w:rsid w:val="005E487F"/>
    <w:rsid w:val="005E64F5"/>
    <w:rsid w:val="005F6947"/>
    <w:rsid w:val="00610978"/>
    <w:rsid w:val="00615807"/>
    <w:rsid w:val="006177D0"/>
    <w:rsid w:val="00621325"/>
    <w:rsid w:val="00623230"/>
    <w:rsid w:val="00625318"/>
    <w:rsid w:val="0063343F"/>
    <w:rsid w:val="00650B85"/>
    <w:rsid w:val="00650ED3"/>
    <w:rsid w:val="00653A8B"/>
    <w:rsid w:val="00664D2B"/>
    <w:rsid w:val="00675B8B"/>
    <w:rsid w:val="00684E82"/>
    <w:rsid w:val="00694756"/>
    <w:rsid w:val="006A193C"/>
    <w:rsid w:val="006A6827"/>
    <w:rsid w:val="006C07B1"/>
    <w:rsid w:val="006C0BBD"/>
    <w:rsid w:val="006C357A"/>
    <w:rsid w:val="006C5702"/>
    <w:rsid w:val="006D4177"/>
    <w:rsid w:val="006D4F01"/>
    <w:rsid w:val="006D71C3"/>
    <w:rsid w:val="006F025C"/>
    <w:rsid w:val="006F0E66"/>
    <w:rsid w:val="006F0FAB"/>
    <w:rsid w:val="006F71EA"/>
    <w:rsid w:val="007167EE"/>
    <w:rsid w:val="00716F66"/>
    <w:rsid w:val="007236D4"/>
    <w:rsid w:val="00736337"/>
    <w:rsid w:val="00751EAE"/>
    <w:rsid w:val="007708BD"/>
    <w:rsid w:val="00770D33"/>
    <w:rsid w:val="00771690"/>
    <w:rsid w:val="00774AD0"/>
    <w:rsid w:val="007822D5"/>
    <w:rsid w:val="007921DF"/>
    <w:rsid w:val="00792460"/>
    <w:rsid w:val="00797D91"/>
    <w:rsid w:val="007A2E79"/>
    <w:rsid w:val="007A4A9B"/>
    <w:rsid w:val="007B3D9E"/>
    <w:rsid w:val="007B7C33"/>
    <w:rsid w:val="007C097D"/>
    <w:rsid w:val="007C368B"/>
    <w:rsid w:val="007D01A7"/>
    <w:rsid w:val="007E3149"/>
    <w:rsid w:val="007E5C41"/>
    <w:rsid w:val="007F47DF"/>
    <w:rsid w:val="007F715C"/>
    <w:rsid w:val="008204AF"/>
    <w:rsid w:val="00822A5E"/>
    <w:rsid w:val="00822E68"/>
    <w:rsid w:val="00823197"/>
    <w:rsid w:val="0082504E"/>
    <w:rsid w:val="00831E56"/>
    <w:rsid w:val="00832C2B"/>
    <w:rsid w:val="00832D94"/>
    <w:rsid w:val="0083495A"/>
    <w:rsid w:val="00836F00"/>
    <w:rsid w:val="00845845"/>
    <w:rsid w:val="00852BA1"/>
    <w:rsid w:val="00853423"/>
    <w:rsid w:val="008542F4"/>
    <w:rsid w:val="0085449A"/>
    <w:rsid w:val="00860D70"/>
    <w:rsid w:val="0086460E"/>
    <w:rsid w:val="00874FEF"/>
    <w:rsid w:val="00886F3F"/>
    <w:rsid w:val="00892A2A"/>
    <w:rsid w:val="0089481D"/>
    <w:rsid w:val="00895006"/>
    <w:rsid w:val="008A2F3A"/>
    <w:rsid w:val="008A5AEC"/>
    <w:rsid w:val="008A6F2E"/>
    <w:rsid w:val="008B5CED"/>
    <w:rsid w:val="008B7B43"/>
    <w:rsid w:val="008C5027"/>
    <w:rsid w:val="008D4A13"/>
    <w:rsid w:val="008E51A9"/>
    <w:rsid w:val="008E6198"/>
    <w:rsid w:val="008F05BE"/>
    <w:rsid w:val="008F45FA"/>
    <w:rsid w:val="00900692"/>
    <w:rsid w:val="00902CA7"/>
    <w:rsid w:val="00903544"/>
    <w:rsid w:val="00907CA3"/>
    <w:rsid w:val="009109B7"/>
    <w:rsid w:val="00912923"/>
    <w:rsid w:val="00917844"/>
    <w:rsid w:val="00920F37"/>
    <w:rsid w:val="00926EE8"/>
    <w:rsid w:val="00935223"/>
    <w:rsid w:val="00940D5B"/>
    <w:rsid w:val="00943B59"/>
    <w:rsid w:val="00946F36"/>
    <w:rsid w:val="00954416"/>
    <w:rsid w:val="00963AC5"/>
    <w:rsid w:val="00963DB2"/>
    <w:rsid w:val="00975863"/>
    <w:rsid w:val="009834A2"/>
    <w:rsid w:val="00987EB3"/>
    <w:rsid w:val="0099385B"/>
    <w:rsid w:val="00994BD9"/>
    <w:rsid w:val="0099788A"/>
    <w:rsid w:val="00997DAA"/>
    <w:rsid w:val="009A22FA"/>
    <w:rsid w:val="009A28D8"/>
    <w:rsid w:val="009A3789"/>
    <w:rsid w:val="009A584C"/>
    <w:rsid w:val="009A60CB"/>
    <w:rsid w:val="009B0DF8"/>
    <w:rsid w:val="009B114F"/>
    <w:rsid w:val="009B4771"/>
    <w:rsid w:val="009B545B"/>
    <w:rsid w:val="009B7A68"/>
    <w:rsid w:val="009C226D"/>
    <w:rsid w:val="009C6364"/>
    <w:rsid w:val="009C6EE2"/>
    <w:rsid w:val="009C711C"/>
    <w:rsid w:val="009D1739"/>
    <w:rsid w:val="009E1410"/>
    <w:rsid w:val="009E2B1C"/>
    <w:rsid w:val="009E35BD"/>
    <w:rsid w:val="009E616C"/>
    <w:rsid w:val="009E71CD"/>
    <w:rsid w:val="009F2CCB"/>
    <w:rsid w:val="00A0226D"/>
    <w:rsid w:val="00A06C29"/>
    <w:rsid w:val="00A17E59"/>
    <w:rsid w:val="00A24785"/>
    <w:rsid w:val="00A31289"/>
    <w:rsid w:val="00A43282"/>
    <w:rsid w:val="00A44022"/>
    <w:rsid w:val="00A50B97"/>
    <w:rsid w:val="00A60E59"/>
    <w:rsid w:val="00A64FBF"/>
    <w:rsid w:val="00A67DC8"/>
    <w:rsid w:val="00A7259E"/>
    <w:rsid w:val="00A83805"/>
    <w:rsid w:val="00A922DF"/>
    <w:rsid w:val="00A942FB"/>
    <w:rsid w:val="00AA5296"/>
    <w:rsid w:val="00AA5731"/>
    <w:rsid w:val="00AB0107"/>
    <w:rsid w:val="00AB0CFA"/>
    <w:rsid w:val="00AB51F6"/>
    <w:rsid w:val="00AB6A0C"/>
    <w:rsid w:val="00AC0C65"/>
    <w:rsid w:val="00AC4690"/>
    <w:rsid w:val="00AC47E8"/>
    <w:rsid w:val="00AD79BF"/>
    <w:rsid w:val="00AD7D21"/>
    <w:rsid w:val="00AE7820"/>
    <w:rsid w:val="00AF076F"/>
    <w:rsid w:val="00B06DA7"/>
    <w:rsid w:val="00B06E54"/>
    <w:rsid w:val="00B1058B"/>
    <w:rsid w:val="00B128FD"/>
    <w:rsid w:val="00B17D77"/>
    <w:rsid w:val="00B270D0"/>
    <w:rsid w:val="00B51245"/>
    <w:rsid w:val="00B54FA9"/>
    <w:rsid w:val="00B5706D"/>
    <w:rsid w:val="00B7187D"/>
    <w:rsid w:val="00B72D55"/>
    <w:rsid w:val="00B75074"/>
    <w:rsid w:val="00B81BF8"/>
    <w:rsid w:val="00B901FD"/>
    <w:rsid w:val="00BA792B"/>
    <w:rsid w:val="00BB2DC4"/>
    <w:rsid w:val="00BB537A"/>
    <w:rsid w:val="00BB6381"/>
    <w:rsid w:val="00BB77A3"/>
    <w:rsid w:val="00BC34AA"/>
    <w:rsid w:val="00BC400D"/>
    <w:rsid w:val="00BC67B8"/>
    <w:rsid w:val="00BD0A91"/>
    <w:rsid w:val="00BE15B5"/>
    <w:rsid w:val="00BE60FC"/>
    <w:rsid w:val="00BE7B71"/>
    <w:rsid w:val="00BF167F"/>
    <w:rsid w:val="00BF3A67"/>
    <w:rsid w:val="00C27DA7"/>
    <w:rsid w:val="00C569C1"/>
    <w:rsid w:val="00C56AED"/>
    <w:rsid w:val="00C5743E"/>
    <w:rsid w:val="00C7430A"/>
    <w:rsid w:val="00C87801"/>
    <w:rsid w:val="00C90441"/>
    <w:rsid w:val="00C94DD5"/>
    <w:rsid w:val="00C97CD4"/>
    <w:rsid w:val="00CA7118"/>
    <w:rsid w:val="00CA745F"/>
    <w:rsid w:val="00CB2556"/>
    <w:rsid w:val="00CD0C1E"/>
    <w:rsid w:val="00CD5A9D"/>
    <w:rsid w:val="00CE4EDC"/>
    <w:rsid w:val="00CE79E8"/>
    <w:rsid w:val="00CF03E9"/>
    <w:rsid w:val="00CF2913"/>
    <w:rsid w:val="00D10FEC"/>
    <w:rsid w:val="00D31403"/>
    <w:rsid w:val="00D325F5"/>
    <w:rsid w:val="00D46CB9"/>
    <w:rsid w:val="00D509E2"/>
    <w:rsid w:val="00D6681A"/>
    <w:rsid w:val="00D74FB7"/>
    <w:rsid w:val="00D75357"/>
    <w:rsid w:val="00D75BDA"/>
    <w:rsid w:val="00D840F4"/>
    <w:rsid w:val="00D86BBB"/>
    <w:rsid w:val="00D92CB0"/>
    <w:rsid w:val="00D94301"/>
    <w:rsid w:val="00D94E6A"/>
    <w:rsid w:val="00DB07C9"/>
    <w:rsid w:val="00DB2314"/>
    <w:rsid w:val="00DB3AB0"/>
    <w:rsid w:val="00DC0148"/>
    <w:rsid w:val="00DD10F1"/>
    <w:rsid w:val="00DD491B"/>
    <w:rsid w:val="00DE2536"/>
    <w:rsid w:val="00DE5E84"/>
    <w:rsid w:val="00DF1142"/>
    <w:rsid w:val="00DF1911"/>
    <w:rsid w:val="00DF1F90"/>
    <w:rsid w:val="00E06805"/>
    <w:rsid w:val="00E06D11"/>
    <w:rsid w:val="00E41ED1"/>
    <w:rsid w:val="00E4642E"/>
    <w:rsid w:val="00E607F5"/>
    <w:rsid w:val="00E8384A"/>
    <w:rsid w:val="00E85224"/>
    <w:rsid w:val="00E9360F"/>
    <w:rsid w:val="00E95B31"/>
    <w:rsid w:val="00E97881"/>
    <w:rsid w:val="00EA365C"/>
    <w:rsid w:val="00EA6EB3"/>
    <w:rsid w:val="00EB3EBF"/>
    <w:rsid w:val="00EB4178"/>
    <w:rsid w:val="00EB6812"/>
    <w:rsid w:val="00EC0E86"/>
    <w:rsid w:val="00ED16D0"/>
    <w:rsid w:val="00ED2032"/>
    <w:rsid w:val="00ED2A30"/>
    <w:rsid w:val="00ED2FFB"/>
    <w:rsid w:val="00EE2B99"/>
    <w:rsid w:val="00EE5453"/>
    <w:rsid w:val="00F00878"/>
    <w:rsid w:val="00F02E59"/>
    <w:rsid w:val="00F23004"/>
    <w:rsid w:val="00F345D5"/>
    <w:rsid w:val="00F347EE"/>
    <w:rsid w:val="00F4027D"/>
    <w:rsid w:val="00F476EE"/>
    <w:rsid w:val="00F52FA4"/>
    <w:rsid w:val="00F61FC5"/>
    <w:rsid w:val="00F624BC"/>
    <w:rsid w:val="00F664D0"/>
    <w:rsid w:val="00F73F00"/>
    <w:rsid w:val="00F80B72"/>
    <w:rsid w:val="00F81C3A"/>
    <w:rsid w:val="00F86C8D"/>
    <w:rsid w:val="00FA242A"/>
    <w:rsid w:val="00FA5563"/>
    <w:rsid w:val="00FA7260"/>
    <w:rsid w:val="00FB227A"/>
    <w:rsid w:val="00FB2F7C"/>
    <w:rsid w:val="00FB3CCB"/>
    <w:rsid w:val="00FC04FC"/>
    <w:rsid w:val="00FC2BCF"/>
    <w:rsid w:val="00FC35C5"/>
    <w:rsid w:val="00FC6499"/>
    <w:rsid w:val="00FC741B"/>
    <w:rsid w:val="00FD229E"/>
    <w:rsid w:val="00FD62E7"/>
    <w:rsid w:val="00FD6BFC"/>
    <w:rsid w:val="00FD76E7"/>
    <w:rsid w:val="00FE2B5B"/>
    <w:rsid w:val="00FF4C1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2083"/>
  <w15:chartTrackingRefBased/>
  <w15:docId w15:val="{F497F227-8C17-4C8B-BD06-721F348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F86C8D"/>
    <w:pPr>
      <w:keepNext/>
      <w:keepLines/>
      <w:spacing w:after="68"/>
      <w:ind w:left="891" w:hanging="10"/>
      <w:jc w:val="both"/>
      <w:outlineLvl w:val="1"/>
    </w:pPr>
    <w:rPr>
      <w:rFonts w:eastAsia="Times New Roman"/>
      <w:b/>
      <w:color w:val="000000"/>
      <w:sz w:val="28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74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B3A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6C8D"/>
    <w:rPr>
      <w:rFonts w:eastAsia="Times New Roman"/>
      <w:b/>
      <w:color w:val="000000"/>
      <w:sz w:val="28"/>
      <w:szCs w:val="22"/>
      <w:lang w:val="en-US"/>
    </w:rPr>
  </w:style>
  <w:style w:type="character" w:styleId="a5">
    <w:name w:val="annotation reference"/>
    <w:basedOn w:val="a0"/>
    <w:uiPriority w:val="99"/>
    <w:semiHidden/>
    <w:unhideWhenUsed/>
    <w:rsid w:val="002325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25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25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25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25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5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2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E36B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64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A01-A993-4D61-A0B9-9006B4B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Велигур Кирилл Вадимович</dc:creator>
  <cp:keywords/>
  <dc:description/>
  <cp:lastModifiedBy>Жук Татьяна Викторовна</cp:lastModifiedBy>
  <cp:revision>60</cp:revision>
  <cp:lastPrinted>2023-03-14T03:44:00Z</cp:lastPrinted>
  <dcterms:created xsi:type="dcterms:W3CDTF">2023-02-28T02:55:00Z</dcterms:created>
  <dcterms:modified xsi:type="dcterms:W3CDTF">2023-03-14T06:35:00Z</dcterms:modified>
</cp:coreProperties>
</file>