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76" w:rsidRDefault="005E64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6476" w:rsidRDefault="005E6476">
      <w:pPr>
        <w:pStyle w:val="ConsPlusNormal"/>
        <w:jc w:val="both"/>
        <w:outlineLvl w:val="0"/>
      </w:pPr>
    </w:p>
    <w:p w:rsidR="005E6476" w:rsidRDefault="005E647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заключении энергосервисных контрактов на срок, превышающий срок действия утвержденных лимитов бюджетных обязательств.</w:t>
      </w:r>
    </w:p>
    <w:p w:rsidR="005E6476" w:rsidRDefault="005E6476">
      <w:pPr>
        <w:pStyle w:val="ConsPlusNormal"/>
        <w:jc w:val="both"/>
      </w:pPr>
    </w:p>
    <w:p w:rsidR="005E6476" w:rsidRDefault="005E6476">
      <w:pPr>
        <w:pStyle w:val="ConsPlusNormal"/>
        <w:ind w:firstLine="540"/>
        <w:jc w:val="both"/>
      </w:pPr>
      <w:r>
        <w:rPr>
          <w:b/>
        </w:rPr>
        <w:t>Ответ:</w:t>
      </w:r>
    </w:p>
    <w:p w:rsidR="005E6476" w:rsidRDefault="005E6476">
      <w:pPr>
        <w:pStyle w:val="ConsPlusTitle"/>
        <w:spacing w:before="280"/>
        <w:jc w:val="center"/>
      </w:pPr>
      <w:r>
        <w:t>МИНИСТЕРСТВО ФИНАНСОВ РОССИЙСКОЙ ФЕДЕРАЦИИ</w:t>
      </w:r>
    </w:p>
    <w:p w:rsidR="005E6476" w:rsidRDefault="005E6476">
      <w:pPr>
        <w:pStyle w:val="ConsPlusTitle"/>
        <w:jc w:val="center"/>
      </w:pPr>
    </w:p>
    <w:p w:rsidR="005E6476" w:rsidRDefault="005E6476">
      <w:pPr>
        <w:pStyle w:val="ConsPlusTitle"/>
        <w:jc w:val="center"/>
      </w:pPr>
      <w:r>
        <w:t>ПИСЬМО</w:t>
      </w:r>
    </w:p>
    <w:p w:rsidR="005E6476" w:rsidRDefault="005E6476">
      <w:pPr>
        <w:pStyle w:val="ConsPlusTitle"/>
        <w:jc w:val="center"/>
      </w:pPr>
      <w:r>
        <w:t>от 11 сентября 2017 г. N 24-01-08/58317</w:t>
      </w:r>
    </w:p>
    <w:p w:rsidR="005E6476" w:rsidRDefault="005E6476">
      <w:pPr>
        <w:pStyle w:val="ConsPlusNormal"/>
        <w:jc w:val="both"/>
      </w:pPr>
    </w:p>
    <w:p w:rsidR="005E6476" w:rsidRDefault="005E6476">
      <w:pPr>
        <w:pStyle w:val="ConsPlusNormal"/>
        <w:ind w:firstLine="540"/>
        <w:jc w:val="both"/>
      </w:pPr>
      <w:r>
        <w:t xml:space="preserve">Министерство финансов Российской Федерации, рассмотрев обращение по вопросу применения положений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энергосервисных контрактов на срок, превышающий срок действия утвержденных лимитов бюджетных обязательств, сообщает следующее.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Особенности заключения энергосервисных контрактов установлены </w:t>
      </w:r>
      <w:hyperlink r:id="rId6" w:history="1">
        <w:r>
          <w:rPr>
            <w:color w:val="0000FF"/>
          </w:rPr>
          <w:t>статьей 108</w:t>
        </w:r>
      </w:hyperlink>
      <w:r>
        <w:t xml:space="preserve"> Закона о контрактной системе.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Так, согласно указанной </w:t>
      </w:r>
      <w:hyperlink r:id="rId7" w:history="1">
        <w:r>
          <w:rPr>
            <w:color w:val="0000FF"/>
          </w:rPr>
          <w:t>статье</w:t>
        </w:r>
      </w:hyperlink>
      <w:r>
        <w:t xml:space="preserve"> предметом энергосервисных контрактов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Заключение энергосервисного контракта осуществляется в порядке, установленном </w:t>
      </w:r>
      <w:hyperlink r:id="rId8" w:history="1">
        <w:r>
          <w:rPr>
            <w:color w:val="0000FF"/>
          </w:rPr>
          <w:t>Законом</w:t>
        </w:r>
      </w:hyperlink>
      <w:r>
        <w:t xml:space="preserve"> о контрактной системе, с учетом положений, предусмотренных </w:t>
      </w:r>
      <w:hyperlink r:id="rId9" w:history="1">
        <w:r>
          <w:rPr>
            <w:color w:val="0000FF"/>
          </w:rPr>
          <w:t>статьей 108</w:t>
        </w:r>
      </w:hyperlink>
      <w:r>
        <w:t xml:space="preserve"> Закона о контрактной системе.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Начальная (максимальная) цена энергосервисного контракта (цена лота)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</w:t>
      </w:r>
      <w:hyperlink r:id="rId10" w:history="1">
        <w:r>
          <w:rPr>
            <w:color w:val="0000FF"/>
          </w:rPr>
          <w:t>особенностей</w:t>
        </w:r>
      </w:hyperlink>
      <w:r>
        <w:t>, установленных постановлением Правительства Российской Федерации от 18.08.2010 N 636.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>В конкурсной документации, документации об аукционе, извещении о проведении запроса котировок указывается начальная (максимальная) цена энергосервисного контракта (цена лота), в том числе расходы на поставки энергетических ресурсов, в отношении каждого вида товаров, работ, услуг с указанием количества таких товаров, работ, услуг и стоимости единицы каждого товара, каждой работы, каждой услуги, а также одно из следующих условий: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1) фиксированный размер экономии в денежном выражении соответствующих </w:t>
      </w:r>
      <w:r>
        <w:lastRenderedPageBreak/>
        <w:t>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энергосервисным контрактом;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>2)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ресурсов, минимальный размер указанной экономии в денежном выражении;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>3) минимальный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который может быть уплачен исполнителю в соответствии с энергосервисным контрактом.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пункту 2 статьи 72</w:t>
        </w:r>
      </w:hyperlink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</w:t>
      </w:r>
      <w:hyperlink r:id="rId12" w:history="1">
        <w:r>
          <w:rPr>
            <w:color w:val="0000FF"/>
          </w:rPr>
          <w:t>пунктом 3 указанной статьи</w:t>
        </w:r>
      </w:hyperlink>
      <w:r>
        <w:t>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3 статьи 72</w:t>
        </w:r>
      </w:hyperlink>
      <w:r>
        <w:t xml:space="preserve"> Бюджетного кодекса Российской Федерации государственные или муниципальные заказчики вправе заключать государственные или муниципальные энергосервисные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>Таким образом, заключение энергосервисных контрактов на срок, превышающий срок действия утвержденных лимитов бюджетных обязательств, осуществляется в случае наличия средств в составе расходов на оплату соответствующих энергетических ресурсов.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пункту 1 части 5 статьи 99</w:t>
        </w:r>
      </w:hyperlink>
      <w:r>
        <w:t xml:space="preserve"> Закона о контрактной системе финансовые органы субъектов Российской Федерации осуществляют 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заказчика.</w:t>
      </w:r>
    </w:p>
    <w:p w:rsidR="005E6476" w:rsidRDefault="005E6476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Правила</w:t>
        </w:r>
      </w:hyperlink>
      <w:r>
        <w:t xml:space="preserve"> осуществления контроля, предусмотренного частью 5 статьи 99 Закона о контрактной системе, утверждены постановлением Правительства Российской Федерации от 12.12.2015 N 1367 (далее - Правила).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lastRenderedPageBreak/>
        <w:t xml:space="preserve">В соответствии с </w:t>
      </w:r>
      <w:hyperlink r:id="rId16" w:history="1">
        <w:r>
          <w:rPr>
            <w:color w:val="0000FF"/>
          </w:rPr>
          <w:t>пунктом 11</w:t>
        </w:r>
      </w:hyperlink>
      <w:r>
        <w:t xml:space="preserve"> Правил порядок взаимодействия при осуществлении контроля финансовых органов с субъектами контроля, указанными в </w:t>
      </w:r>
      <w:hyperlink r:id="rId17" w:history="1">
        <w:r>
          <w:rPr>
            <w:color w:val="0000FF"/>
          </w:rPr>
          <w:t>пунктах 4</w:t>
        </w:r>
      </w:hyperlink>
      <w:r>
        <w:t xml:space="preserve"> и </w:t>
      </w:r>
      <w:hyperlink r:id="rId18" w:history="1">
        <w:r>
          <w:rPr>
            <w:color w:val="0000FF"/>
          </w:rPr>
          <w:t>5</w:t>
        </w:r>
      </w:hyperlink>
      <w:r>
        <w:t xml:space="preserve"> указанных Правил, устанавливается органом контроля с учетом общих </w:t>
      </w:r>
      <w:hyperlink r:id="rId19" w:history="1">
        <w:r>
          <w:rPr>
            <w:color w:val="0000FF"/>
          </w:rPr>
          <w:t>требований</w:t>
        </w:r>
      </w:hyperlink>
      <w:r>
        <w:t>, установленных приказом Минфина России от 22.07.2016 N 120н.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При этом согласно </w:t>
      </w:r>
      <w:hyperlink r:id="rId20" w:history="1">
        <w:r>
          <w:rPr>
            <w:color w:val="0000FF"/>
          </w:rPr>
          <w:t>подпункту "а" пункта 13</w:t>
        </w:r>
      </w:hyperlink>
      <w:r>
        <w:t xml:space="preserve"> Правил при осуществлении контроля органами контроля проводится проверка информации об объеме финансового обеспечения, включенного в планы закупок, в части непревышения объема финансового обеспечения над: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>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государственного (муниципального) заказчика как получателя бюджетных средств,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обязательств;</w:t>
      </w:r>
    </w:p>
    <w:p w:rsidR="005E6476" w:rsidRDefault="005E6476">
      <w:pPr>
        <w:pStyle w:val="ConsPlusNormal"/>
        <w:spacing w:before="280"/>
        <w:ind w:firstLine="540"/>
        <w:jc w:val="both"/>
      </w:pPr>
      <w:r>
        <w:t xml:space="preserve">показателями выплат на закупку товаров, работ, услуг на соответствующий финансовый год и плановый период, осуществляемых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о контрактной системе, включенными в планы финансово-хозяйственной деятельности государственных (муниципальных) бюджетных и автономных учреждений, по году начала закупки.</w:t>
      </w:r>
    </w:p>
    <w:p w:rsidR="005E6476" w:rsidRDefault="005E6476">
      <w:pPr>
        <w:pStyle w:val="ConsPlusNormal"/>
        <w:jc w:val="both"/>
      </w:pPr>
    </w:p>
    <w:p w:rsidR="005E6476" w:rsidRDefault="005E6476">
      <w:pPr>
        <w:pStyle w:val="ConsPlusNormal"/>
        <w:jc w:val="right"/>
      </w:pPr>
      <w:r>
        <w:t>А.М.ЛАВРОВ</w:t>
      </w:r>
    </w:p>
    <w:p w:rsidR="005E6476" w:rsidRDefault="005E6476">
      <w:pPr>
        <w:pStyle w:val="ConsPlusNormal"/>
      </w:pPr>
      <w:r>
        <w:t>11.09.2017</w:t>
      </w:r>
    </w:p>
    <w:p w:rsidR="005E6476" w:rsidRDefault="005E6476">
      <w:pPr>
        <w:pStyle w:val="ConsPlusNormal"/>
        <w:jc w:val="both"/>
      </w:pPr>
    </w:p>
    <w:p w:rsidR="005E6476" w:rsidRDefault="005E6476">
      <w:pPr>
        <w:pStyle w:val="ConsPlusNormal"/>
        <w:jc w:val="both"/>
      </w:pPr>
    </w:p>
    <w:p w:rsidR="005E6476" w:rsidRDefault="005E6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5BB" w:rsidRDefault="004E25BB">
      <w:bookmarkStart w:id="0" w:name="_GoBack"/>
      <w:bookmarkEnd w:id="0"/>
    </w:p>
    <w:sectPr w:rsidR="004E25BB" w:rsidSect="009E4F0A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6"/>
    <w:rsid w:val="001D681D"/>
    <w:rsid w:val="004E25BB"/>
    <w:rsid w:val="005E6476"/>
    <w:rsid w:val="00B27841"/>
    <w:rsid w:val="00C571A5"/>
    <w:rsid w:val="00DC316A"/>
    <w:rsid w:val="00F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D3C6-4F7F-425B-BE90-7EF44AE9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76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5E6476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5E6476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381D1F48235BDFC0BA5B8257CB445EC52821D72C003FBB669049AA3A032B65263B1874F588E77087606AB13hF68C" TargetMode="External"/><Relationship Id="rId13" Type="http://schemas.openxmlformats.org/officeDocument/2006/relationships/hyperlink" Target="consultantplus://offline/ref=D3F381D1F48235BDFC0BA5B8257CB445EC52821A7ECD03FBB669049AA3A032B64063E98B4F5A91740F6350FA56A40CD8EA5220A5A53E42BAhA62C" TargetMode="External"/><Relationship Id="rId18" Type="http://schemas.openxmlformats.org/officeDocument/2006/relationships/hyperlink" Target="consultantplus://offline/ref=D3F381D1F48235BDFC0BA5B8257CB445EC51871D7DC103FBB669049AA3A032B64063E98B4F5990740B6350FA56A40CD8EA5220A5A53E42BAhA6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F381D1F48235BDFC0BA5B8257CB445EC52821D72C003FBB669049AA3A032B65263B1874F588E77087606AB13hF68C" TargetMode="External"/><Relationship Id="rId7" Type="http://schemas.openxmlformats.org/officeDocument/2006/relationships/hyperlink" Target="consultantplus://offline/ref=D3F381D1F48235BDFC0BA5B8257CB445EC52821D72C003FBB669049AA3A032B64063E98B4F5B90770E6350FA56A40CD8EA5220A5A53E42BAhA62C" TargetMode="External"/><Relationship Id="rId12" Type="http://schemas.openxmlformats.org/officeDocument/2006/relationships/hyperlink" Target="consultantplus://offline/ref=D3F381D1F48235BDFC0BA5B8257CB445EC52821A7ECD03FBB669049AA3A032B64063E98B4F5A91740B6350FA56A40CD8EA5220A5A53E42BAhA62C" TargetMode="External"/><Relationship Id="rId17" Type="http://schemas.openxmlformats.org/officeDocument/2006/relationships/hyperlink" Target="consultantplus://offline/ref=D3F381D1F48235BDFC0BA5B8257CB445EC51871D7DC103FBB669049AA3A032B64063E98B4F599077016350FA56A40CD8EA5220A5A53E42BAhA6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F381D1F48235BDFC0BA5B8257CB445EC51871D7DC103FBB669049AA3A032B64063E98B4F5990710C6350FA56A40CD8EA5220A5A53E42BAhA62C" TargetMode="External"/><Relationship Id="rId20" Type="http://schemas.openxmlformats.org/officeDocument/2006/relationships/hyperlink" Target="consultantplus://offline/ref=D3F381D1F48235BDFC0BA5B8257CB445EC51871D7DC103FBB669049AA3A032B64063E98B4F5990710F6350FA56A40CD8EA5220A5A53E42BAhA6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381D1F48235BDFC0BA5B8257CB445EC52821D72C003FBB669049AA3A032B64063E98B4F5895700B6350FA56A40CD8EA5220A5A53E42BAhA62C" TargetMode="External"/><Relationship Id="rId11" Type="http://schemas.openxmlformats.org/officeDocument/2006/relationships/hyperlink" Target="consultantplus://offline/ref=D3F381D1F48235BDFC0BA5B8257CB445EC52821A7ECD03FBB669049AA3A032B64063E98B4F5A9475086350FA56A40CD8EA5220A5A53E42BAhA62C" TargetMode="External"/><Relationship Id="rId5" Type="http://schemas.openxmlformats.org/officeDocument/2006/relationships/hyperlink" Target="consultantplus://offline/ref=D3F381D1F48235BDFC0BA5B8257CB445EC52821D72C003FBB669049AA3A032B65263B1874F588E77087606AB13hF68C" TargetMode="External"/><Relationship Id="rId15" Type="http://schemas.openxmlformats.org/officeDocument/2006/relationships/hyperlink" Target="consultantplus://offline/ref=D3F381D1F48235BDFC0BA5B8257CB445EC51871D7DC103FBB669049AA3A032B64063E98B4F599076016350FA56A40CD8EA5220A5A53E42BAhA62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F381D1F48235BDFC0BA5B8257CB445EC508B1872CF03FBB669049AA3A032B64063E98B4F599071006350FA56A40CD8EA5220A5A53E42BAhA62C" TargetMode="External"/><Relationship Id="rId19" Type="http://schemas.openxmlformats.org/officeDocument/2006/relationships/hyperlink" Target="consultantplus://offline/ref=D3F381D1F48235BDFC0BA5B8257CB445EC50861879C003FBB669049AA3A032B64063E98B4F599077086350FA56A40CD8EA5220A5A53E42BAhA62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F381D1F48235BDFC0BA5B8257CB445EC52821D72C003FBB669049AA3A032B64063E98B4F5895700B6350FA56A40CD8EA5220A5A53E42BAhA62C" TargetMode="External"/><Relationship Id="rId14" Type="http://schemas.openxmlformats.org/officeDocument/2006/relationships/hyperlink" Target="consultantplus://offline/ref=D3F381D1F48235BDFC0BA5B8257CB445EC52821D72C003FBB669049AA3A032B64063E98B4F58937F0A6350FA56A40CD8EA5220A5A53E42BAhA62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Ерина Елена Николаевна</cp:lastModifiedBy>
  <cp:revision>1</cp:revision>
  <dcterms:created xsi:type="dcterms:W3CDTF">2019-10-01T02:58:00Z</dcterms:created>
  <dcterms:modified xsi:type="dcterms:W3CDTF">2019-10-01T02:58:00Z</dcterms:modified>
</cp:coreProperties>
</file>